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Durch den Bruch der Ampelkoalition war die Entwicklung des gesetzlichen Rahmens für die Umsetzung von NIS-2 (das NIS2UmsuCG) zum Erliegen gekommen.</w:t>
      </w:r>
      <w:r>
        <w:rPr>
          <w:lang w:val="de-DE" w:eastAsia="en-US" w:bidi="ar-SA"/>
        </w:rPr>
        <w:t xml:space="preserve"> </w:t>
      </w:r>
      <w:r>
        <w:rPr>
          <w:lang w:val="de-DE"/>
        </w:rPr>
        <w:t xml:space="preserve">Die </w:t>
      </w:r>
      <w:r>
        <w:rPr>
          <w:lang w:val="de-DE" w:eastAsia="en-US" w:bidi="ar-SA"/>
        </w:rPr>
        <w:t xml:space="preserve">aktuelle Bundesregierung hat am </w:t>
      </w:r>
      <w:r>
        <w:rPr>
          <w:lang w:val="de-DE"/>
        </w:rPr>
        <w:t>25.07.2025 den ersten eigenen Gesetzesentwurf veröffentlicht: (</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definiert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false"/>
        <w:bidi w:val="0"/>
        <w:spacing w:before="0" w:after="120"/>
        <w:jc w:val="left"/>
        <w:rPr>
          <w:lang w:val="de-DE"/>
        </w:rPr>
      </w:pPr>
      <w:r>
        <w:rPr/>
        <w:drawing>
          <wp:inline distT="0" distB="0" distL="0" distR="0">
            <wp:extent cx="5760720" cy="31508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761" r="-103" b="-761"/>
                    <a:stretch>
                      <a:fillRect/>
                    </a:stretch>
                  </pic:blipFill>
                  <pic:spPr bwMode="auto">
                    <a:xfrm>
                      <a:off x="0" y="0"/>
                      <a:ext cx="5760720" cy="3150870"/>
                    </a:xfrm>
                    <a:prstGeom prst="rect">
                      <a:avLst/>
                    </a:prstGeom>
                    <a:noFill/>
                  </pic:spPr>
                </pic:pic>
              </a:graphicData>
            </a:graphic>
          </wp:inline>
        </w:drawing>
      </w:r>
    </w:p>
    <w:p>
      <w:pPr>
        <w:pStyle w:val="10000-DefaultParagraph"/>
        <w:rPr/>
      </w:pPr>
      <w:r>
        <w:rPr/>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lang w:val="de-DE"/>
        </w:rPr>
      </w:pPr>
      <w:r>
        <w:rPr>
          <w:lang w:val="de-DE"/>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26</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27</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29</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31</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31</w:t>
            </w:r>
          </w:hyperlink>
        </w:p>
        <w:p>
          <w:pPr>
            <w:pStyle w:val="TOC3"/>
            <w:tabs>
              <w:tab w:val="clear" w:pos="9062"/>
              <w:tab w:val="left" w:pos="709" w:leader="none"/>
              <w:tab w:val="right" w:pos="9071" w:leader="dot"/>
            </w:tabs>
            <w:rPr/>
          </w:pPr>
          <w:hyperlink w:anchor="__RefHeading___beschraenkung_des_netzwe1">
            <w:r>
              <w:rPr>
                <w:rStyle w:val="IndexLink"/>
              </w:rPr>
              <w:t>10.6.4</w:t>
              <w:tab/>
              <w:t>Beschränkung des Netzwerkverkehrs</w:t>
              <w:tab/>
              <w:t>31</w:t>
            </w:r>
          </w:hyperlink>
        </w:p>
        <w:p>
          <w:pPr>
            <w:pStyle w:val="TOC3"/>
            <w:tabs>
              <w:tab w:val="clear" w:pos="9062"/>
              <w:tab w:val="left" w:pos="709" w:leader="none"/>
              <w:tab w:val="right" w:pos="9071" w:leader="dot"/>
            </w:tabs>
            <w:rPr/>
          </w:pPr>
          <w:hyperlink w:anchor="__RefHeading___kritische_individualsoftw">
            <w:r>
              <w:rPr>
                <w:rStyle w:val="IndexLink"/>
              </w:rPr>
              <w:t>10.6.5</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10.6.6</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32</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32</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33</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34</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34</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37</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37</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39</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39</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39</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40</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40</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40</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41</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41</w:t>
            </w:r>
          </w:hyperlink>
        </w:p>
        <w:p>
          <w:pPr>
            <w:pStyle w:val="TOC3"/>
            <w:tabs>
              <w:tab w:val="clear" w:pos="9062"/>
              <w:tab w:val="left" w:pos="709" w:leader="none"/>
              <w:tab w:val="right" w:pos="9071" w:leader="dot"/>
            </w:tabs>
            <w:rPr/>
          </w:pPr>
          <w:hyperlink w:anchor="__RefHeading___verfahren_117">
            <w:r>
              <w:rPr>
                <w:rStyle w:val="IndexLink"/>
              </w:rPr>
              <w:t>16.6.3</w:t>
              <w:tab/>
              <w:t>Verfahren</w:t>
              <w:tab/>
              <w:t>41</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42</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Lieferanten</w:t>
              <w:tab/>
              <w:t>44</w:t>
            </w:r>
          </w:hyperlink>
        </w:p>
        <w:p>
          <w:pPr>
            <w:pStyle w:val="TOC2"/>
            <w:tabs>
              <w:tab w:val="clear" w:pos="9062"/>
              <w:tab w:val="left" w:pos="567" w:leader="none"/>
              <w:tab w:val="right" w:pos="9071" w:leader="dot"/>
            </w:tabs>
            <w:rPr/>
          </w:pPr>
          <w:hyperlink w:anchor="__RefHeading___a_1_verfahren_132_Copy_1_">
            <w:r>
              <w:rPr>
                <w:rStyle w:val="IndexLink"/>
              </w:rPr>
              <w:tab/>
              <w:t>18.1 Basisschutz</w:t>
              <w:tab/>
              <w:t>44</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44</w:t>
            </w:r>
          </w:hyperlink>
        </w:p>
        <w:p>
          <w:pPr>
            <w:pStyle w:val="TOC1"/>
            <w:tabs>
              <w:tab w:val="clear" w:pos="9062"/>
              <w:tab w:val="left" w:pos="426" w:leader="none"/>
              <w:tab w:val="right" w:pos="9071" w:leader="dot"/>
            </w:tabs>
            <w:rPr/>
          </w:pPr>
          <w:hyperlink w:anchor="__RefHeading___Toc23186_2990485309_Copy_">
            <w:r>
              <w:rPr>
                <w:rStyle w:val="IndexLink"/>
              </w:rPr>
              <w:t>20</w:t>
              <w:tab/>
              <w:t>Kryptografie</w:t>
              <w:tab/>
              <w:t>46</w:t>
            </w:r>
          </w:hyperlink>
        </w:p>
        <w:p>
          <w:pPr>
            <w:pStyle w:val="TOC2"/>
            <w:tabs>
              <w:tab w:val="clear" w:pos="9062"/>
              <w:tab w:val="left" w:pos="567" w:leader="none"/>
              <w:tab w:val="right" w:pos="9071" w:leader="dot"/>
            </w:tabs>
            <w:rPr/>
          </w:pPr>
          <w:hyperlink w:anchor="__RefHeading___Toc26260_3248772027">
            <w:r>
              <w:rPr>
                <w:rStyle w:val="IndexLink"/>
              </w:rPr>
              <w:t>20.1</w:t>
              <w:tab/>
              <w:t>Richtlinie</w:t>
              <w:tab/>
              <w:t>46</w:t>
            </w:r>
          </w:hyperlink>
        </w:p>
        <w:p>
          <w:pPr>
            <w:pStyle w:val="TOC2"/>
            <w:tabs>
              <w:tab w:val="clear" w:pos="9062"/>
              <w:tab w:val="left" w:pos="567" w:leader="none"/>
              <w:tab w:val="right" w:pos="9071" w:leader="dot"/>
            </w:tabs>
            <w:rPr/>
          </w:pPr>
          <w:hyperlink w:anchor="__RefHeading___Toc23120_3248772027">
            <w:r>
              <w:rPr>
                <w:rStyle w:val="IndexLink"/>
              </w:rPr>
              <w:t>20.2</w:t>
              <w:tab/>
              <w:t>Inventarisierung</w:t>
              <w:tab/>
              <w:t>46</w:t>
            </w:r>
          </w:hyperlink>
        </w:p>
        <w:p>
          <w:pPr>
            <w:pStyle w:val="TOC2"/>
            <w:tabs>
              <w:tab w:val="clear" w:pos="9062"/>
              <w:tab w:val="left" w:pos="567" w:leader="none"/>
              <w:tab w:val="right" w:pos="9071" w:leader="dot"/>
            </w:tabs>
            <w:rPr/>
          </w:pPr>
          <w:hyperlink w:anchor="__RefHeading___Toc23122_3248772027">
            <w:r>
              <w:rPr>
                <w:rStyle w:val="IndexLink"/>
              </w:rPr>
              <w:t>20.3</w:t>
              <w:tab/>
              <w:t>Anforderungen</w:t>
              <w:tab/>
              <w:t>47</w:t>
            </w:r>
          </w:hyperlink>
        </w:p>
        <w:p>
          <w:pPr>
            <w:pStyle w:val="TOC2"/>
            <w:tabs>
              <w:tab w:val="clear" w:pos="9062"/>
              <w:tab w:val="left" w:pos="567" w:leader="none"/>
              <w:tab w:val="right" w:pos="9071" w:leader="dot"/>
            </w:tabs>
            <w:rPr/>
          </w:pPr>
          <w:hyperlink w:anchor="__RefHeading___Toc23124_3248772027">
            <w:r>
              <w:rPr>
                <w:rStyle w:val="IndexLink"/>
              </w:rPr>
              <w:t>20.4</w:t>
              <w:tab/>
              <w:t>Schlüsselmanagement</w:t>
              <w:tab/>
              <w:t>47</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414354570"/>
      <w:bookmarkStart w:id="6" w:name="_Toc413143655"/>
      <w:bookmarkStart w:id="7" w:name="_Toc414345060"/>
      <w:bookmarkStart w:id="8" w:name="_Toc413809510"/>
      <w:bookmarkStart w:id="9" w:name="_Toc413073863"/>
      <w:bookmarkStart w:id="10" w:name="_Toc409684807"/>
      <w:bookmarkStart w:id="11" w:name="_Toc531165009"/>
      <w:bookmarkStart w:id="12" w:name="_Toc413808700"/>
      <w:bookmarkStart w:id="13" w:name="_Toc178588044"/>
      <w:bookmarkStart w:id="14" w:name="_Ref184204200"/>
      <w:bookmarkStart w:id="15" w:name="_Toc187327020"/>
      <w:bookmarkStart w:id="16" w:name="_Toc178761299"/>
      <w:bookmarkStart w:id="17" w:name="_Toc12164565"/>
      <w:bookmarkStart w:id="18" w:name="_Toc413814208"/>
      <w:bookmarkEnd w:id="4"/>
      <w:bookmarkEnd w:id="5"/>
      <w:bookmarkEnd w:id="6"/>
      <w:bookmarkEnd w:id="7"/>
      <w:bookmarkEnd w:id="8"/>
      <w:bookmarkEnd w:id="9"/>
      <w:bookmarkEnd w:id="10"/>
      <w:bookmarkEnd w:id="12"/>
      <w:bookmarkEnd w:id="17"/>
      <w:bookmarkEnd w:id="18"/>
      <w:r>
        <w:rPr>
          <w:lang w:val="de-DE"/>
        </w:rPr>
        <w:t>Allgemeines</w:t>
      </w:r>
      <w:bookmarkEnd w:id="11"/>
      <w:bookmarkEnd w:id="13"/>
      <w:bookmarkEnd w:id="14"/>
      <w:bookmarkEnd w:id="15"/>
      <w:bookmarkEnd w:id="16"/>
    </w:p>
    <w:p>
      <w:pPr>
        <w:pStyle w:val="Heading2"/>
        <w:ind w:hanging="0" w:left="0"/>
        <w:rPr>
          <w:lang w:val="de-DE"/>
        </w:rPr>
      </w:pPr>
      <w:bookmarkStart w:id="19" w:name="__RefHeading___Toc31908_2021121348"/>
      <w:bookmarkStart w:id="20" w:name="_Toc187327021"/>
      <w:bookmarkStart w:id="21" w:name="_Ref184204232"/>
      <w:bookmarkStart w:id="22" w:name="_Toc413143656"/>
      <w:bookmarkStart w:id="23" w:name="_Toc178761300"/>
      <w:bookmarkEnd w:id="19"/>
      <w:bookmarkEnd w:id="22"/>
      <w:r>
        <w:rPr>
          <w:lang w:val="de-DE"/>
        </w:rPr>
        <w:t>Einleitung</w:t>
      </w:r>
      <w:bookmarkEnd w:id="20"/>
      <w:bookmarkEnd w:id="21"/>
      <w:bookmarkEnd w:id="23"/>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rl%2525252525252525252525252525252525252"/>
      <w:bookmarkStart w:id="26" w:name="_Toc178588045"/>
      <w:bookmarkStart w:id="27" w:name="_Toc187327022"/>
      <w:bookmarkStart w:id="28" w:name="_Toc530662875"/>
      <w:bookmarkStart w:id="29" w:name="rl%2525252525252525252525252525252525251"/>
      <w:bookmarkStart w:id="30" w:name="del_3del_2_anwendungshinweise"/>
      <w:bookmarkStart w:id="31" w:name="_Toc178761301"/>
      <w:bookmarkStart w:id="32" w:name="_Ref184204245"/>
      <w:bookmarkStart w:id="33" w:name="_Toc531165010"/>
      <w:bookmarkEnd w:id="24"/>
      <w:bookmarkEnd w:id="25"/>
      <w:bookmarkEnd w:id="29"/>
      <w:r>
        <w:rPr>
          <w:lang w:val="de-DE"/>
        </w:rPr>
        <w:t>Anwendungshinweise</w:t>
      </w:r>
      <w:bookmarkEnd w:id="26"/>
      <w:bookmarkEnd w:id="27"/>
      <w:bookmarkEnd w:id="28"/>
      <w:bookmarkEnd w:id="30"/>
      <w:bookmarkEnd w:id="31"/>
      <w:bookmarkEnd w:id="32"/>
      <w:bookmarkEnd w:id="33"/>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178588046"/>
      <w:bookmarkStart w:id="36" w:name="_Toc530662876"/>
      <w:bookmarkStart w:id="37" w:name="_Toc178761302"/>
      <w:bookmarkStart w:id="38" w:name="_Toc187327023"/>
      <w:bookmarkStart w:id="39" w:name="_Toc531165011"/>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52"/>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Hierzu SOLLTE die entsprechende vom BSI zur Verfügung gestellte Vorgehensweise genutzt werden.</w:t>
      </w:r>
    </w:p>
    <w:p>
      <w:pPr>
        <w:pStyle w:val="Normal"/>
        <w:numPr>
          <w:ilvl w:val="0"/>
          <w:numId w:val="253"/>
        </w:numPr>
        <w:rPr>
          <w:lang w:val="de-DE"/>
        </w:rPr>
      </w:pPr>
      <w:r>
        <w:rPr>
          <w:lang w:val="de-DE"/>
        </w:rPr>
        <w:t>Das Ergebnis der Prüfung wird zusammen mit seiner Begründung dokumentiert.</w:t>
      </w:r>
    </w:p>
    <w:p>
      <w:pPr>
        <w:pStyle w:val="Normal"/>
        <w:numPr>
          <w:ilvl w:val="0"/>
          <w:numId w:val="254"/>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55"/>
        </w:numPr>
        <w:rPr>
          <w:lang w:val="de-DE"/>
        </w:rPr>
      </w:pPr>
      <w:r>
        <w:rPr>
          <w:lang w:val="de-DE"/>
        </w:rPr>
        <w:t>Das Registrierungsverfahren gem. § 33 BSIG wird bei Bedarf durchlaufen.</w:t>
      </w:r>
    </w:p>
    <w:p>
      <w:pPr>
        <w:pStyle w:val="Normal"/>
        <w:numPr>
          <w:ilvl w:val="0"/>
          <w:numId w:val="256"/>
        </w:numPr>
        <w:rPr>
          <w:lang w:val="de-DE"/>
        </w:rPr>
      </w:pPr>
      <w:r>
        <w:rPr>
          <w:lang w:val="de-DE"/>
        </w:rPr>
        <w:t>Dabei werden die in § 33 BSIG gesetzten Fristen eingehalten.</w:t>
      </w:r>
    </w:p>
    <w:p>
      <w:pPr>
        <w:pStyle w:val="Normal"/>
        <w:numPr>
          <w:ilvl w:val="0"/>
          <w:numId w:val="257"/>
        </w:numPr>
        <w:rPr>
          <w:lang w:val="de-DE"/>
        </w:rPr>
      </w:pPr>
      <w:r>
        <w:rPr>
          <w:lang w:val="de-DE"/>
        </w:rPr>
        <w:t>Die auf der Webseite des BSI veröffentlichten Einzelheiten zur Ausgestaltung des Registrierungs</w:t>
        <w:softHyphen/>
        <w:t>verfahrens werden beachtet.</w:t>
      </w:r>
    </w:p>
    <w:p>
      <w:pPr>
        <w:pStyle w:val="Normal"/>
        <w:numPr>
          <w:ilvl w:val="0"/>
          <w:numId w:val="258"/>
        </w:numPr>
        <w:rPr>
          <w:lang w:val="de-DE"/>
        </w:rPr>
      </w:pPr>
      <w:r>
        <w:rPr>
          <w:lang w:val="de-DE"/>
        </w:rPr>
        <w:t>Es wird geprüft, ob die Organisation eine Einrichtung im Sinne von § 60 Absatz 1 Satz 1 BSIG ist.</w:t>
      </w:r>
    </w:p>
    <w:p>
      <w:pPr>
        <w:pStyle w:val="Normal"/>
        <w:numPr>
          <w:ilvl w:val="0"/>
          <w:numId w:val="259"/>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178588047"/>
      <w:bookmarkStart w:id="43" w:name="_Toc530662877"/>
      <w:bookmarkStart w:id="44" w:name="rl%2525252525252525252525252525252525253"/>
      <w:bookmarkStart w:id="45" w:name="_Toc178761303"/>
      <w:bookmarkStart w:id="46" w:name="_Toc531165012"/>
      <w:bookmarkStart w:id="47" w:name="del_4del_3_gueltigkeit"/>
      <w:bookmarkStart w:id="48" w:name="_Toc187327024"/>
      <w:bookmarkEnd w:id="41"/>
      <w:bookmarkEnd w:id="44"/>
      <w:r>
        <w:rPr>
          <w:lang w:val="de-DE"/>
        </w:rPr>
        <w:t>Gültigkeit</w:t>
      </w:r>
      <w:bookmarkEnd w:id="42"/>
      <w:bookmarkEnd w:id="43"/>
      <w:bookmarkEnd w:id="45"/>
      <w:bookmarkEnd w:id="46"/>
      <w:bookmarkEnd w:id="47"/>
      <w:bookmarkEnd w:id="48"/>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178761304"/>
      <w:bookmarkStart w:id="51" w:name="_Toc178588048"/>
      <w:bookmarkStart w:id="52" w:name="_Toc187327025"/>
      <w:bookmarkStart w:id="53" w:name="_Ref184204270"/>
      <w:bookmarkStart w:id="54" w:name="normative_verweise"/>
      <w:bookmarkStart w:id="55" w:name="_Toc531165013"/>
      <w:bookmarkStart w:id="56" w:name="_Toc530662878"/>
      <w:bookmarkEnd w:id="49"/>
      <w:r>
        <w:rPr>
          <w:lang w:val="de-DE"/>
        </w:rPr>
        <w:t>Verweisunge</w:t>
      </w:r>
      <w:bookmarkEnd w:id="50"/>
      <w:bookmarkEnd w:id="51"/>
      <w:bookmarkEnd w:id="53"/>
      <w:bookmarkEnd w:id="54"/>
      <w:bookmarkEnd w:id="55"/>
      <w:bookmarkEnd w:id="56"/>
      <w:r>
        <w:rPr>
          <w:lang w:val="de-DE"/>
        </w:rPr>
        <w:t>n</w:t>
      </w:r>
      <w:bookmarkEnd w:id="52"/>
    </w:p>
    <w:p>
      <w:pPr>
        <w:pStyle w:val="Heading2"/>
        <w:ind w:hanging="0" w:left="0"/>
        <w:rPr>
          <w:lang w:val="de-DE"/>
        </w:rPr>
      </w:pPr>
      <w:bookmarkStart w:id="57" w:name="__RefHeading___Toc31918_2021121348_Copy_"/>
      <w:bookmarkStart w:id="58" w:name="_Toc531165013_Copy_1"/>
      <w:bookmarkStart w:id="59" w:name="rl%2525252525252525252525252525252525254"/>
      <w:bookmarkStart w:id="60" w:name="_Ref184204270_Copy_1"/>
      <w:bookmarkStart w:id="61" w:name="_Toc178761304_Copy_1"/>
      <w:bookmarkStart w:id="62" w:name="_Toc178588048_Copy_1"/>
      <w:bookmarkStart w:id="63" w:name="_Toc530662878_Copy_1"/>
      <w:bookmarkStart w:id="64" w:name="normative_verweise_Copy_1"/>
      <w:bookmarkStart w:id="65" w:name="_Toc187327025_Copy_1"/>
      <w:bookmarkEnd w:id="57"/>
      <w:bookmarkEnd w:id="59"/>
      <w:r>
        <w:rPr>
          <w:lang w:val="de-DE"/>
        </w:rPr>
        <w:t>Normative Verweisunge</w:t>
      </w:r>
      <w:bookmarkEnd w:id="58"/>
      <w:bookmarkEnd w:id="60"/>
      <w:bookmarkEnd w:id="61"/>
      <w:bookmarkEnd w:id="62"/>
      <w:bookmarkEnd w:id="63"/>
      <w:bookmarkEnd w:id="64"/>
      <w:r>
        <w:rPr>
          <w:lang w:val="de-DE"/>
        </w:rPr>
        <w:t>n</w:t>
      </w:r>
      <w:bookmarkEnd w:id="65"/>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bookmarkStart w:id="66" w:name="rl%25252525252525252525253Akap_03%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tru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highlight w:val="none"/>
          <w:shd w:fill="EEEEEE" w:val="clear"/>
        </w:rPr>
      </w:pPr>
      <w:bookmarkStart w:id="68" w:name="__RefHeading___Toc31920_2021121348"/>
      <w:bookmarkStart w:id="69" w:name="_Toc531165014"/>
      <w:bookmarkStart w:id="70" w:name="_Toc187327026"/>
      <w:bookmarkStart w:id="71" w:name="_Toc178588049"/>
      <w:bookmarkStart w:id="72" w:name="_Ref184204279"/>
      <w:bookmarkStart w:id="73" w:name="_Toc178761305"/>
      <w:bookmarkStart w:id="74" w:name="_Toc530662879"/>
      <w:bookmarkEnd w:id="68"/>
      <w:r>
        <w:rPr>
          <w:shd w:fill="EEEEEE" w:val="clear"/>
          <w:lang w:val="de-DE"/>
        </w:rPr>
        <w:t>Begriffe</w:t>
      </w:r>
      <w:bookmarkEnd w:id="69"/>
      <w:bookmarkEnd w:id="71"/>
      <w:bookmarkEnd w:id="74"/>
      <w:r>
        <w:rPr>
          <w:shd w:fill="EEEEEE" w:val="clear"/>
          <w:lang w:val="de-DE"/>
        </w:rPr>
        <w:t xml:space="preserve"> und Abkürzungen</w:t>
      </w:r>
      <w:bookmarkEnd w:id="70"/>
      <w:bookmarkEnd w:id="72"/>
      <w:bookmarkEnd w:id="73"/>
    </w:p>
    <w:p>
      <w:pPr>
        <w:pStyle w:val="Heading2"/>
        <w:ind w:hanging="0" w:left="0"/>
        <w:rPr>
          <w:highlight w:val="none"/>
          <w:shd w:fill="EEEEEE" w:val="clear"/>
        </w:rPr>
      </w:pPr>
      <w:bookmarkStart w:id="75" w:name="__RefHeading___Toc31922_2021121348"/>
      <w:bookmarkStart w:id="76" w:name="_Toc178761306"/>
      <w:bookmarkStart w:id="77" w:name="_Toc187327027"/>
      <w:bookmarkEnd w:id="75"/>
      <w:r>
        <w:rPr>
          <w:shd w:fill="EEEEEE" w:val="clea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Hinweis: Hierzu zählen u. a. IT-Systeme, Datenträger, Verbindungen, Daten, Informationen</w:t>
      </w:r>
      <w:commentRangeStart w:id="2"/>
      <w:r>
        <w:rPr>
          <w:shd w:fill="EEEEEE" w:val="clear"/>
          <w:lang w:val="de-DE"/>
        </w:rPr>
        <w:t>,</w:t>
      </w:r>
      <w:r>
        <w:rPr>
          <w:shd w:fill="auto" w:val="clear"/>
          <w:lang w:val="de-DE"/>
        </w:rPr>
        <w:t xml:space="preserve"> Anwendungen sowie Mitarbeitende und Lieferanten, die Waren oder Dienstleistungen für die Informationsverarbeitung bereitstellen.</w:t>
      </w:r>
      <w:commentRangeEnd w:id="2"/>
      <w:r>
        <w:commentReference w:id="2"/>
      </w:r>
      <w:r>
        <w:rPr>
          <w:shd w:fill="auto" w:val="clear"/>
          <w:lang w:val="de-DE"/>
        </w:rPr>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3"/>
      <w:r>
        <w:rPr>
          <w:shd w:fill="auto" w:val="clear"/>
          <w:lang w:val="de-DE"/>
        </w:rPr>
        <w:t>aber auch Steuerungsanlagen von Maschinen und Prozessen</w:t>
      </w:r>
      <w:r>
        <w:rPr>
          <w:shd w:fill="EEEEEE" w:val="clear"/>
          <w:lang w:val="de-DE"/>
        </w:rPr>
        <w:t>.</w:t>
      </w:r>
      <w:commentRangeEnd w:id="3"/>
      <w:r>
        <w:commentReference w:id="3"/>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78761307"/>
      <w:bookmarkStart w:id="81" w:name="_Toc187327028"/>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_Toc178761308"/>
      <w:bookmarkStart w:id="84" w:name="_Toc178588050"/>
      <w:bookmarkStart w:id="85" w:name="_Toc531165015"/>
      <w:bookmarkStart w:id="86" w:name="rl%2525252525252525252525252525252525255"/>
      <w:bookmarkStart w:id="87" w:name="_Ref184204313"/>
      <w:bookmarkStart w:id="88" w:name="_Toc187327029"/>
      <w:bookmarkStart w:id="89" w:name="organisation_der_informationssicherheit"/>
      <w:bookmarkStart w:id="90" w:name="_Toc530662880"/>
      <w:bookmarkEnd w:id="82"/>
      <w:bookmarkEnd w:id="86"/>
      <w:r>
        <w:rPr>
          <w:shd w:fill="EEEEEE" w:val="clear"/>
          <w:lang w:val="de-DE"/>
        </w:rPr>
        <w:t>Organisation der Informationssicherheit</w:t>
      </w:r>
      <w:bookmarkEnd w:id="83"/>
      <w:bookmarkEnd w:id="84"/>
      <w:bookmarkEnd w:id="85"/>
      <w:bookmarkEnd w:id="87"/>
      <w:bookmarkEnd w:id="88"/>
      <w:bookmarkEnd w:id="89"/>
      <w:bookmarkEnd w:id="90"/>
    </w:p>
    <w:p>
      <w:pPr>
        <w:pStyle w:val="Heading2"/>
        <w:ind w:hanging="0" w:left="0"/>
        <w:rPr>
          <w:highlight w:val="none"/>
          <w:shd w:fill="EEEEEE" w:val="clear"/>
        </w:rPr>
      </w:pPr>
      <w:bookmarkStart w:id="91" w:name="__RefHeading___Toc31928_2021121348"/>
      <w:bookmarkStart w:id="92" w:name="_Toc178761309"/>
      <w:bookmarkStart w:id="93" w:name="_Toc187327030"/>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_Toc530662881"/>
      <w:bookmarkStart w:id="96" w:name="rl%2525252525252525252525252525252525256"/>
      <w:bookmarkStart w:id="97" w:name="_Toc531165016"/>
      <w:bookmarkStart w:id="98" w:name="_Toc178588051"/>
      <w:bookmarkStart w:id="99" w:name="_Toc178761310"/>
      <w:bookmarkStart w:id="100" w:name="verantwortlichkeiten"/>
      <w:bookmarkStart w:id="101" w:name="_Toc187327031"/>
      <w:bookmarkEnd w:id="94"/>
      <w:bookmarkEnd w:id="96"/>
      <w:r>
        <w:rPr>
          <w:shd w:fill="EEEEEE" w:val="clear"/>
          <w:lang w:val="de-DE"/>
        </w:rPr>
        <w:t>Verantwortlichkeiten</w:t>
      </w:r>
      <w:bookmarkEnd w:id="95"/>
      <w:bookmarkEnd w:id="97"/>
      <w:bookmarkEnd w:id="98"/>
      <w:bookmarkEnd w:id="99"/>
      <w:bookmarkEnd w:id="100"/>
      <w:bookmarkEnd w:id="101"/>
    </w:p>
    <w:p>
      <w:pPr>
        <w:pStyle w:val="Heading3"/>
        <w:ind w:hanging="0" w:left="0"/>
        <w:rPr>
          <w:highlight w:val="none"/>
          <w:shd w:fill="EEEEEE" w:val="clear"/>
        </w:rPr>
      </w:pPr>
      <w:bookmarkStart w:id="102" w:name="__RefHeading___Toc31932_2021121348"/>
      <w:bookmarkStart w:id="103" w:name="_Toc187327032"/>
      <w:bookmarkStart w:id="104" w:name="_Toc178761311"/>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zuweisung_und_dokumentation"/>
      <w:bookmarkStart w:id="107" w:name="_Toc530662882"/>
      <w:bookmarkStart w:id="108" w:name="_Toc187327033"/>
      <w:bookmarkStart w:id="109" w:name="_Toc178761312"/>
      <w:bookmarkStart w:id="110" w:name="_Toc531165017"/>
      <w:bookmarkStart w:id="111" w:name="rl%2525252525252525252525252525252525257"/>
      <w:bookmarkEnd w:id="105"/>
      <w:bookmarkEnd w:id="111"/>
      <w:r>
        <w:rPr>
          <w:shd w:fill="EEEEEE" w:val="clear"/>
          <w:lang w:val="de-DE"/>
        </w:rPr>
        <w:t>Zuweisung und Dokumentation</w:t>
      </w:r>
      <w:bookmarkEnd w:id="106"/>
      <w:bookmarkEnd w:id="107"/>
      <w:bookmarkEnd w:id="108"/>
      <w:bookmarkEnd w:id="109"/>
      <w:bookmarkEnd w:id="110"/>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60"/>
        </w:numPr>
        <w:rPr>
          <w:highlight w:val="none"/>
          <w:shd w:fill="EEEEEE" w:val="clear"/>
        </w:rPr>
      </w:pPr>
      <w:r>
        <w:rPr>
          <w:shd w:fill="EEEEEE" w:val="clear"/>
          <w:lang w:val="de-DE"/>
        </w:rPr>
        <w:t>welche Ziele erreicht werden sollen</w:t>
      </w:r>
    </w:p>
    <w:p>
      <w:pPr>
        <w:pStyle w:val="10000-DefaultParagraph"/>
        <w:numPr>
          <w:ilvl w:val="0"/>
          <w:numId w:val="261"/>
        </w:numPr>
        <w:rPr>
          <w:highlight w:val="none"/>
          <w:shd w:fill="EEEEEE" w:val="clear"/>
        </w:rPr>
      </w:pPr>
      <w:r>
        <w:rPr>
          <w:shd w:fill="EEEEEE" w:val="clear"/>
          <w:lang w:val="de-DE"/>
        </w:rPr>
        <w:t>für welche Ressourcen die Verantwortlichkeit besteht</w:t>
      </w:r>
    </w:p>
    <w:p>
      <w:pPr>
        <w:pStyle w:val="10000-DefaultParagraph"/>
        <w:numPr>
          <w:ilvl w:val="0"/>
          <w:numId w:val="262"/>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63"/>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64"/>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65"/>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66"/>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_Toc178761313"/>
      <w:bookmarkStart w:id="114" w:name="rl%2525252525252525252525252525252525258"/>
      <w:bookmarkStart w:id="115" w:name="funktionstrennungen"/>
      <w:bookmarkStart w:id="116" w:name="_Toc531165018"/>
      <w:bookmarkStart w:id="117" w:name="_Toc530662883"/>
      <w:bookmarkStart w:id="118" w:name="_Toc187327034"/>
      <w:bookmarkEnd w:id="112"/>
      <w:bookmarkEnd w:id="114"/>
      <w:r>
        <w:rPr>
          <w:shd w:fill="EEEEEE" w:val="clear"/>
          <w:lang w:val="de-DE"/>
        </w:rPr>
        <w:t>Funktionstrennungen</w:t>
      </w:r>
      <w:bookmarkEnd w:id="113"/>
      <w:bookmarkEnd w:id="115"/>
      <w:bookmarkEnd w:id="116"/>
      <w:bookmarkEnd w:id="117"/>
      <w:bookmarkEnd w:id="118"/>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4"/>
      <w:r>
        <w:rPr>
          <w:shd w:fill="EEEEEE" w:val="clear"/>
          <w:lang w:val="de-DE"/>
        </w:rPr>
        <w:t>In diesem Fall MÜSSEN folgende Anforderungen erfüllt werden:</w:t>
      </w:r>
      <w:commentRangeEnd w:id="4"/>
      <w:r>
        <w:commentReference w:id="4"/>
      </w:r>
      <w:r>
        <w:rPr>
          <w:shd w:fill="EEEEEE" w:val="clear"/>
          <w:lang w:val="de-DE"/>
        </w:rPr>
      </w:r>
    </w:p>
    <w:p>
      <w:pPr>
        <w:pStyle w:val="10000-DefaultParagraph"/>
        <w:numPr>
          <w:ilvl w:val="0"/>
          <w:numId w:val="267"/>
        </w:numPr>
        <w:rPr>
          <w:highlight w:val="none"/>
          <w:shd w:fill="EEEEEE" w:val="clear"/>
        </w:rPr>
      </w:pPr>
      <w:r>
        <w:rPr>
          <w:shd w:fill="EEEEEE" w:val="clear"/>
          <w:lang w:val="de-DE"/>
        </w:rPr>
        <w:t>Die rechtliche Zulässigkeit wurde geprüft.</w:t>
      </w:r>
    </w:p>
    <w:p>
      <w:pPr>
        <w:pStyle w:val="10000-DefaultParagraph"/>
        <w:numPr>
          <w:ilvl w:val="0"/>
          <w:numId w:val="268"/>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69"/>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zeitliche_ressourcen"/>
      <w:bookmarkStart w:id="121" w:name="_Toc187327035"/>
      <w:bookmarkStart w:id="122" w:name="_Toc530662884"/>
      <w:bookmarkStart w:id="123" w:name="_Toc178761314"/>
      <w:bookmarkStart w:id="124" w:name="_Toc531165019"/>
      <w:bookmarkStart w:id="125" w:name="rl%2525252525252525252525252525252525259"/>
      <w:bookmarkEnd w:id="119"/>
      <w:bookmarkEnd w:id="125"/>
      <w:r>
        <w:rPr>
          <w:shd w:fill="EEEEEE" w:val="clear"/>
          <w:lang w:val="de-DE"/>
        </w:rPr>
        <w:t>Zeitliche Ressourcen</w:t>
      </w:r>
      <w:bookmarkEnd w:id="120"/>
      <w:bookmarkEnd w:id="121"/>
      <w:bookmarkEnd w:id="122"/>
      <w:bookmarkEnd w:id="123"/>
      <w:bookmarkEnd w:id="124"/>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_Toc178761315"/>
      <w:bookmarkStart w:id="128" w:name="_Toc531165020"/>
      <w:bookmarkStart w:id="129" w:name="_Toc187327036"/>
      <w:bookmarkStart w:id="130" w:name="delegieren_von_aufgaben"/>
      <w:bookmarkStart w:id="131" w:name="rl%252525252525252525252525252525252525a"/>
      <w:bookmarkStart w:id="132" w:name="_Toc530662885"/>
      <w:bookmarkEnd w:id="126"/>
      <w:bookmarkEnd w:id="131"/>
      <w:r>
        <w:rPr>
          <w:shd w:fill="EEEEEE" w:val="clear"/>
          <w:lang w:val="de-DE"/>
        </w:rPr>
        <w:t>Delegieren von Aufgaben</w:t>
      </w:r>
      <w:bookmarkEnd w:id="127"/>
      <w:bookmarkEnd w:id="128"/>
      <w:bookmarkEnd w:id="129"/>
      <w:bookmarkEnd w:id="130"/>
      <w:bookmarkEnd w:id="132"/>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187327037"/>
      <w:bookmarkStart w:id="135" w:name="_Toc178761316"/>
      <w:bookmarkStart w:id="136" w:name="_Toc531165021"/>
      <w:bookmarkStart w:id="137" w:name="topmanagement"/>
      <w:bookmarkStart w:id="138" w:name="_Ref178760601"/>
      <w:bookmarkStart w:id="139" w:name="_Toc178588052"/>
      <w:bookmarkStart w:id="140" w:name="rl%252525252525252525252525252525252525b"/>
      <w:bookmarkStart w:id="141" w:name="_Toc530662886"/>
      <w:bookmarkEnd w:id="133"/>
      <w:bookmarkEnd w:id="140"/>
      <w:r>
        <w:rPr>
          <w:shd w:fill="EEEEEE" w:val="clear"/>
          <w:lang w:val="de-DE"/>
        </w:rPr>
        <w:t>Topmanagement</w:t>
      </w:r>
      <w:bookmarkEnd w:id="134"/>
      <w:bookmarkEnd w:id="135"/>
      <w:bookmarkEnd w:id="136"/>
      <w:bookmarkEnd w:id="137"/>
      <w:bookmarkEnd w:id="138"/>
      <w:bookmarkEnd w:id="139"/>
      <w:bookmarkEnd w:id="141"/>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70"/>
        </w:numPr>
        <w:rPr>
          <w:lang w:val="de-DE"/>
        </w:rPr>
      </w:pPr>
      <w:r>
        <w:rPr>
          <w:shd w:fill="EEEEEE" w:val="clear"/>
          <w:lang w:val="de-DE"/>
        </w:rPr>
        <w:t>Übernahme der Gesamtverantwortung für die Informationssicherheit</w:t>
      </w:r>
      <w:commentRangeStart w:id="5"/>
      <w:r>
        <w:rPr>
          <w:shd w:fill="auto" w:val="clear"/>
          <w:lang w:val="de-DE"/>
        </w:rPr>
        <w:t>, insbesondere für die Umsetzung und Überwachung der in diesen Richtlinien geforderten Maßnahmen</w:t>
      </w:r>
      <w:commentRangeEnd w:id="5"/>
      <w:r>
        <w:commentReference w:id="5"/>
      </w:r>
      <w:r>
        <w:rPr>
          <w:shd w:fill="auto" w:val="clear"/>
          <w:lang w:val="de-DE"/>
        </w:rPr>
      </w:r>
    </w:p>
    <w:p>
      <w:pPr>
        <w:pStyle w:val="10000-DefaultParagraph"/>
        <w:numPr>
          <w:ilvl w:val="0"/>
          <w:numId w:val="271"/>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72"/>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73"/>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_Toc530662887"/>
      <w:bookmarkStart w:id="144" w:name="rl%252525252525252525252525252525252525c"/>
      <w:bookmarkStart w:id="145" w:name="informationssicherheitsbeauftragter_isb"/>
      <w:bookmarkStart w:id="146" w:name="_Toc531165022"/>
      <w:bookmarkStart w:id="147" w:name="_Toc178588053"/>
      <w:bookmarkStart w:id="148" w:name="_Toc187327038"/>
      <w:bookmarkStart w:id="149" w:name="_Toc178761317"/>
      <w:bookmarkEnd w:id="142"/>
      <w:bookmarkEnd w:id="144"/>
      <w:r>
        <w:rPr>
          <w:shd w:fill="EEEEEE" w:val="clear"/>
          <w:lang w:val="de-DE"/>
        </w:rPr>
        <w:t>Informationssicherheitsbeauftragter</w:t>
      </w:r>
      <w:bookmarkEnd w:id="143"/>
      <w:bookmarkEnd w:id="145"/>
      <w:bookmarkEnd w:id="146"/>
      <w:bookmarkEnd w:id="147"/>
      <w:bookmarkEnd w:id="148"/>
      <w:bookmarkEnd w:id="149"/>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rl%252525252525252525252525252525252525d"/>
      <w:bookmarkStart w:id="152" w:name="_Ref184200602"/>
      <w:bookmarkStart w:id="153" w:name="_Ref184204363"/>
      <w:bookmarkStart w:id="154" w:name="_Toc178588054"/>
      <w:bookmarkStart w:id="155" w:name="_Toc531165023"/>
      <w:bookmarkStart w:id="156" w:name="_Toc187327039"/>
      <w:bookmarkStart w:id="157" w:name="informationssicherheitsteam_ist"/>
      <w:bookmarkStart w:id="158" w:name="_Toc178761318"/>
      <w:bookmarkStart w:id="159" w:name="_Toc530662888"/>
      <w:bookmarkEnd w:id="150"/>
      <w:bookmarkEnd w:id="151"/>
      <w:r>
        <w:rPr>
          <w:shd w:fill="EEEEEE" w:val="clear"/>
          <w:lang w:val="de-DE"/>
        </w:rPr>
        <w:t>Informationssicherheitsteam</w:t>
      </w:r>
      <w:bookmarkEnd w:id="152"/>
      <w:bookmarkEnd w:id="153"/>
      <w:bookmarkEnd w:id="154"/>
      <w:bookmarkEnd w:id="155"/>
      <w:bookmarkEnd w:id="156"/>
      <w:bookmarkEnd w:id="157"/>
      <w:bookmarkEnd w:id="158"/>
      <w:bookmarkEnd w:id="159"/>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74"/>
        </w:numPr>
        <w:spacing w:lineRule="auto" w:line="250"/>
        <w:rPr>
          <w:highlight w:val="none"/>
          <w:shd w:fill="EEEEEE" w:val="clear"/>
        </w:rPr>
      </w:pPr>
      <w:r>
        <w:rPr>
          <w:shd w:fill="EEEEEE" w:val="clear"/>
          <w:lang w:val="de-DE"/>
        </w:rPr>
        <w:t>Topmanagement</w:t>
      </w:r>
    </w:p>
    <w:p>
      <w:pPr>
        <w:pStyle w:val="Liste1"/>
        <w:numPr>
          <w:ilvl w:val="0"/>
          <w:numId w:val="275"/>
        </w:numPr>
        <w:spacing w:lineRule="auto" w:line="250"/>
        <w:rPr>
          <w:highlight w:val="none"/>
          <w:shd w:fill="EEEEEE" w:val="clear"/>
        </w:rPr>
      </w:pPr>
      <w:r>
        <w:rPr>
          <w:shd w:fill="EEEEEE" w:val="clear"/>
          <w:lang w:val="de-DE"/>
        </w:rPr>
        <w:t>ISB</w:t>
      </w:r>
    </w:p>
    <w:p>
      <w:pPr>
        <w:pStyle w:val="Liste1"/>
        <w:numPr>
          <w:ilvl w:val="0"/>
          <w:numId w:val="276"/>
        </w:numPr>
        <w:spacing w:lineRule="auto" w:line="250"/>
        <w:rPr>
          <w:highlight w:val="none"/>
          <w:shd w:fill="EEEEEE" w:val="clear"/>
        </w:rPr>
      </w:pPr>
      <w:r>
        <w:rPr>
          <w:shd w:fill="EEEEEE" w:val="clear"/>
          <w:lang w:val="de-DE"/>
        </w:rPr>
        <w:t>IT-Verantwortliche</w:t>
      </w:r>
    </w:p>
    <w:p>
      <w:pPr>
        <w:pStyle w:val="Liste1"/>
        <w:numPr>
          <w:ilvl w:val="0"/>
          <w:numId w:val="277"/>
        </w:numPr>
        <w:spacing w:lineRule="auto" w:line="250"/>
        <w:rPr>
          <w:highlight w:val="none"/>
          <w:shd w:fill="EEEEEE" w:val="clear"/>
        </w:rPr>
      </w:pPr>
      <w:r>
        <w:rPr>
          <w:shd w:fill="EEEEEE" w:val="clear"/>
          <w:lang w:val="de-DE"/>
        </w:rPr>
        <w:t>Mitarbeiter (z. B. über Betriebsrat)</w:t>
      </w:r>
    </w:p>
    <w:p>
      <w:pPr>
        <w:pStyle w:val="Liste1"/>
        <w:numPr>
          <w:ilvl w:val="0"/>
          <w:numId w:val="278"/>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79"/>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80"/>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81"/>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it-verantwortliche_del_rdel"/>
      <w:bookmarkStart w:id="162" w:name="_Toc178761319"/>
      <w:bookmarkStart w:id="163" w:name="_Toc530662889"/>
      <w:bookmarkStart w:id="164" w:name="_Toc178588055"/>
      <w:bookmarkStart w:id="165" w:name="_Toc531165024"/>
      <w:bookmarkStart w:id="166" w:name="rl%252525252525252525252525252525252525e"/>
      <w:bookmarkStart w:id="167" w:name="_Toc187327040"/>
      <w:bookmarkEnd w:id="160"/>
      <w:bookmarkEnd w:id="166"/>
      <w:r>
        <w:rPr>
          <w:shd w:fill="EEEEEE" w:val="clear"/>
          <w:lang w:val="de-DE"/>
        </w:rPr>
        <w:t>IT-Verantwortliche</w:t>
      </w:r>
      <w:bookmarkEnd w:id="161"/>
      <w:bookmarkEnd w:id="162"/>
      <w:bookmarkEnd w:id="163"/>
      <w:bookmarkEnd w:id="164"/>
      <w:bookmarkEnd w:id="165"/>
      <w:bookmarkEnd w:id="167"/>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82"/>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83"/>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rl%252525252525252525252525252525252525f"/>
      <w:bookmarkStart w:id="170" w:name="_Toc530662890"/>
      <w:bookmarkStart w:id="171" w:name="administratoren"/>
      <w:bookmarkStart w:id="172" w:name="_Toc531165025"/>
      <w:bookmarkStart w:id="173" w:name="_Toc178588056"/>
      <w:bookmarkStart w:id="174" w:name="_Toc187327041"/>
      <w:bookmarkStart w:id="175" w:name="_Toc178761320"/>
      <w:bookmarkEnd w:id="168"/>
      <w:bookmarkEnd w:id="169"/>
      <w:r>
        <w:rPr>
          <w:shd w:fill="EEEEEE" w:val="clear"/>
          <w:lang w:val="de-DE"/>
        </w:rPr>
        <w:t>Administratoren</w:t>
      </w:r>
      <w:bookmarkEnd w:id="170"/>
      <w:bookmarkEnd w:id="171"/>
      <w:bookmarkEnd w:id="172"/>
      <w:bookmarkEnd w:id="173"/>
      <w:bookmarkEnd w:id="174"/>
      <w:bookmarkEnd w:id="175"/>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178588057"/>
      <w:bookmarkStart w:id="178" w:name="_Toc178761321"/>
      <w:bookmarkStart w:id="179" w:name="_Toc187327042"/>
      <w:bookmarkStart w:id="180" w:name="vorgesetzte_del_mit_personalverantwortun"/>
      <w:bookmarkStart w:id="181" w:name="_Toc531165026"/>
      <w:bookmarkStart w:id="182" w:name="_Toc530662891"/>
      <w:bookmarkStart w:id="183" w:name="rl%252525252525252525252525252525252525g"/>
      <w:bookmarkEnd w:id="176"/>
      <w:bookmarkEnd w:id="183"/>
      <w:r>
        <w:rPr>
          <w:shd w:fill="EEEEEE" w:val="clear"/>
          <w:lang w:val="de-DE"/>
        </w:rPr>
        <w:t>Vorgesetzte</w:t>
      </w:r>
      <w:bookmarkEnd w:id="177"/>
      <w:bookmarkEnd w:id="178"/>
      <w:bookmarkEnd w:id="179"/>
      <w:bookmarkEnd w:id="180"/>
      <w:bookmarkEnd w:id="181"/>
      <w:bookmarkEnd w:id="182"/>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_Toc187327043"/>
      <w:bookmarkStart w:id="186" w:name="_Toc530662892"/>
      <w:bookmarkStart w:id="187" w:name="rl%252525252525252525252525252525252525h"/>
      <w:bookmarkStart w:id="188" w:name="_Toc178588058"/>
      <w:bookmarkStart w:id="189" w:name="_Toc178761322"/>
      <w:bookmarkStart w:id="190" w:name="_Toc531165027"/>
      <w:bookmarkStart w:id="191" w:name="del_personaldel_mitarbeiter"/>
      <w:bookmarkEnd w:id="184"/>
      <w:bookmarkEnd w:id="187"/>
      <w:r>
        <w:rPr>
          <w:shd w:fill="EEEEEE" w:val="clear"/>
          <w:lang w:val="de-DE"/>
        </w:rPr>
        <w:t>Mitarbeiter</w:t>
      </w:r>
      <w:bookmarkEnd w:id="185"/>
      <w:bookmarkEnd w:id="186"/>
      <w:bookmarkEnd w:id="188"/>
      <w:bookmarkEnd w:id="189"/>
      <w:bookmarkEnd w:id="190"/>
      <w:bookmarkEnd w:id="191"/>
    </w:p>
    <w:p>
      <w:pPr>
        <w:pStyle w:val="Normal"/>
        <w:rPr>
          <w:highlight w:val="none"/>
          <w:shd w:fill="EEEEEE" w:val="clear"/>
        </w:rPr>
      </w:pPr>
      <w:r>
        <w:rPr>
          <w:shd w:fill="EEEEEE" w:val="clear"/>
          <w:lang w:val="de-DE"/>
        </w:rPr>
        <w:t>Mitarbeiter MÜSSEN folgende Aufgaben wahrnehmen:</w:t>
      </w:r>
    </w:p>
    <w:p>
      <w:pPr>
        <w:pStyle w:val="Liste1"/>
        <w:numPr>
          <w:ilvl w:val="0"/>
          <w:numId w:val="284"/>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85"/>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projektverantwortliche"/>
      <w:bookmarkStart w:id="194" w:name="_Toc178588059"/>
      <w:bookmarkStart w:id="195" w:name="_Toc531165028"/>
      <w:bookmarkStart w:id="196" w:name="_Toc178761323"/>
      <w:bookmarkStart w:id="197" w:name="_Toc530662893"/>
      <w:bookmarkStart w:id="198" w:name="_Toc187327044"/>
      <w:bookmarkStart w:id="199" w:name="rl%252525252525252525252525252525252525i"/>
      <w:bookmarkEnd w:id="192"/>
      <w:bookmarkEnd w:id="199"/>
      <w:r>
        <w:rPr>
          <w:shd w:fill="EEEEEE" w:val="clear"/>
          <w:lang w:val="de-DE"/>
        </w:rPr>
        <w:t>Projektverantwortliche</w:t>
      </w:r>
      <w:bookmarkEnd w:id="193"/>
      <w:bookmarkEnd w:id="194"/>
      <w:bookmarkEnd w:id="195"/>
      <w:bookmarkEnd w:id="196"/>
      <w:bookmarkEnd w:id="197"/>
      <w:bookmarkEnd w:id="198"/>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_Toc530662894"/>
      <w:bookmarkStart w:id="202" w:name="_Toc178761324"/>
      <w:bookmarkStart w:id="203" w:name="_Toc531165029"/>
      <w:bookmarkStart w:id="204" w:name="rl%252525252525252525252525252525252525j"/>
      <w:bookmarkStart w:id="205" w:name="_Toc187327045"/>
      <w:bookmarkStart w:id="206" w:name="del_lieferanten_und_sonstige_auftragnehm"/>
      <w:bookmarkStart w:id="207" w:name="_Toc178588060"/>
      <w:bookmarkEnd w:id="200"/>
      <w:bookmarkEnd w:id="204"/>
      <w:r>
        <w:rPr>
          <w:shd w:fill="EEEEEE" w:val="clear"/>
          <w:lang w:val="de-DE"/>
        </w:rPr>
        <w:t>Externe</w:t>
      </w:r>
      <w:bookmarkEnd w:id="201"/>
      <w:bookmarkEnd w:id="202"/>
      <w:bookmarkEnd w:id="203"/>
      <w:bookmarkEnd w:id="206"/>
      <w:bookmarkEnd w:id="207"/>
      <w:r>
        <w:rPr>
          <w:shd w:fill="EEEEEE" w:val="clear"/>
          <w:lang w:val="de-DE"/>
        </w:rPr>
        <w:t xml:space="preserve"> Personen</w:t>
      </w:r>
      <w:bookmarkEnd w:id="205"/>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_Toc530662895"/>
      <w:bookmarkStart w:id="210" w:name="leitlinie_zur_informationssicherheit_is-"/>
      <w:bookmarkStart w:id="211" w:name="_Ref184204380"/>
      <w:bookmarkStart w:id="212" w:name="rl%252525252525252525252525252525252525k"/>
      <w:bookmarkStart w:id="213" w:name="_Toc187327046"/>
      <w:bookmarkStart w:id="214" w:name="_Ref184200681"/>
      <w:bookmarkStart w:id="215" w:name="_Toc531165030"/>
      <w:bookmarkStart w:id="216" w:name="_Toc178588061"/>
      <w:bookmarkStart w:id="217" w:name="_Toc178761325"/>
      <w:bookmarkEnd w:id="208"/>
      <w:bookmarkEnd w:id="212"/>
      <w:r>
        <w:rPr>
          <w:shd w:fill="EEEEEE" w:val="clear"/>
          <w:lang w:val="de-DE"/>
        </w:rPr>
        <w:t>Leitlinie zur Informationssicherheit (IS-Leitlinie)</w:t>
      </w:r>
      <w:bookmarkEnd w:id="209"/>
      <w:bookmarkEnd w:id="210"/>
      <w:bookmarkEnd w:id="211"/>
      <w:bookmarkEnd w:id="213"/>
      <w:bookmarkEnd w:id="214"/>
      <w:bookmarkEnd w:id="215"/>
      <w:bookmarkEnd w:id="216"/>
      <w:bookmarkEnd w:id="217"/>
    </w:p>
    <w:p>
      <w:pPr>
        <w:pStyle w:val="Heading2"/>
        <w:ind w:hanging="0" w:left="0"/>
        <w:rPr>
          <w:highlight w:val="none"/>
          <w:shd w:fill="EEEEEE" w:val="clear"/>
        </w:rPr>
      </w:pPr>
      <w:bookmarkStart w:id="218" w:name="__RefHeading___Toc31954_2021121348"/>
      <w:bookmarkStart w:id="219" w:name="_Toc187327047"/>
      <w:bookmarkStart w:id="220" w:name="_Toc178761326"/>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_Toc531165031"/>
      <w:bookmarkStart w:id="223" w:name="allgemeine_anforderungen"/>
      <w:bookmarkStart w:id="224" w:name="rl%252525252525252525252525252525252525l"/>
      <w:bookmarkStart w:id="225" w:name="_Toc178761327"/>
      <w:bookmarkStart w:id="226" w:name="_Ref184204394"/>
      <w:bookmarkStart w:id="227" w:name="_Toc187327048"/>
      <w:bookmarkStart w:id="228" w:name="_Toc178588062"/>
      <w:bookmarkStart w:id="229" w:name="_Toc530662896"/>
      <w:bookmarkEnd w:id="221"/>
      <w:bookmarkEnd w:id="224"/>
      <w:r>
        <w:rPr>
          <w:shd w:fill="EEEEEE" w:val="clear"/>
          <w:lang w:val="de-DE"/>
        </w:rPr>
        <w:t>Allgemeine Anforderungen</w:t>
      </w:r>
      <w:bookmarkEnd w:id="222"/>
      <w:bookmarkEnd w:id="223"/>
      <w:bookmarkEnd w:id="225"/>
      <w:bookmarkEnd w:id="226"/>
      <w:bookmarkEnd w:id="227"/>
      <w:bookmarkEnd w:id="228"/>
      <w:bookmarkEnd w:id="229"/>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6"/>
      <w:r>
        <w:rPr>
          <w:shd w:fill="EEEEEE" w:val="clear"/>
          <w:lang w:val="de-DE"/>
        </w:rPr>
        <w:t>Form</w:t>
      </w:r>
      <w:r>
        <w:rPr>
          <w:shd w:fill="EEEEEE" w:val="clear"/>
          <w:lang w:val="de-DE"/>
        </w:rPr>
      </w:r>
      <w:commentRangeEnd w:id="6"/>
      <w:r>
        <w:commentReference w:id="6"/>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_Toc178761328"/>
      <w:bookmarkStart w:id="232" w:name="_Toc178588063"/>
      <w:bookmarkStart w:id="233" w:name="_Toc531165032"/>
      <w:bookmarkStart w:id="234" w:name="rl%252525252525252525252525252525252525m"/>
      <w:bookmarkStart w:id="235" w:name="_Toc530662897"/>
      <w:bookmarkStart w:id="236" w:name="_Toc187327049"/>
      <w:bookmarkStart w:id="237" w:name="inhalte"/>
      <w:bookmarkEnd w:id="230"/>
      <w:bookmarkEnd w:id="234"/>
      <w:r>
        <w:rPr>
          <w:shd w:fill="EEEEEE" w:val="clear"/>
          <w:lang w:val="de-DE"/>
        </w:rPr>
        <w:t>Inhalte</w:t>
      </w:r>
      <w:bookmarkEnd w:id="231"/>
      <w:bookmarkEnd w:id="232"/>
      <w:bookmarkEnd w:id="233"/>
      <w:bookmarkEnd w:id="235"/>
      <w:bookmarkEnd w:id="236"/>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86"/>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87"/>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_Ref184200712"/>
      <w:bookmarkStart w:id="240" w:name="_Toc187327050"/>
      <w:bookmarkStart w:id="241" w:name="_Toc178588064"/>
      <w:bookmarkStart w:id="242" w:name="richtlinien_zur_informationssicherheit_i"/>
      <w:bookmarkStart w:id="243" w:name="_Toc530662898"/>
      <w:bookmarkStart w:id="244" w:name="_Ref184204406"/>
      <w:bookmarkStart w:id="245" w:name="_Toc531165033"/>
      <w:bookmarkStart w:id="246" w:name="rl%252525252525252525252525252525252525n"/>
      <w:bookmarkStart w:id="247" w:name="_Toc178761329"/>
      <w:bookmarkStart w:id="248" w:name="_Ref179378197"/>
      <w:bookmarkEnd w:id="238"/>
      <w:bookmarkEnd w:id="246"/>
      <w:r>
        <w:rPr>
          <w:shd w:fill="EEEEEE" w:val="clear"/>
          <w:lang w:val="de-DE"/>
        </w:rPr>
        <w:t>Richtlinien zur Informationssicherheit (IS-Richtlinien)</w:t>
      </w:r>
      <w:bookmarkEnd w:id="239"/>
      <w:bookmarkEnd w:id="240"/>
      <w:bookmarkEnd w:id="241"/>
      <w:bookmarkEnd w:id="242"/>
      <w:bookmarkEnd w:id="243"/>
      <w:bookmarkEnd w:id="244"/>
      <w:bookmarkEnd w:id="245"/>
      <w:bookmarkEnd w:id="247"/>
      <w:bookmarkEnd w:id="248"/>
    </w:p>
    <w:p>
      <w:pPr>
        <w:pStyle w:val="Heading2"/>
        <w:ind w:hanging="0" w:left="0"/>
        <w:rPr>
          <w:highlight w:val="none"/>
          <w:shd w:fill="EEEEEE" w:val="clear"/>
        </w:rPr>
      </w:pPr>
      <w:bookmarkStart w:id="249" w:name="__RefHeading___Toc31962_2021121348"/>
      <w:bookmarkStart w:id="250" w:name="_Toc187327051"/>
      <w:bookmarkStart w:id="251" w:name="_Toc178761330"/>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_Toc178588065"/>
      <w:bookmarkStart w:id="254" w:name="rl%252525252525252525252525252525252525o"/>
      <w:bookmarkStart w:id="255" w:name="_Toc531165034"/>
      <w:bookmarkStart w:id="256" w:name="_Toc178761331"/>
      <w:bookmarkStart w:id="257" w:name="_Toc530662899"/>
      <w:bookmarkStart w:id="258" w:name="allgemeine_anforderungen1"/>
      <w:bookmarkStart w:id="259" w:name="_Toc187327052"/>
      <w:bookmarkStart w:id="260" w:name="_Ref184204415"/>
      <w:bookmarkEnd w:id="252"/>
      <w:bookmarkEnd w:id="254"/>
      <w:r>
        <w:rPr>
          <w:shd w:fill="EEEEEE" w:val="clear"/>
          <w:lang w:val="de-DE"/>
        </w:rPr>
        <w:t>Allgemeine Anforderungen</w:t>
      </w:r>
      <w:bookmarkEnd w:id="253"/>
      <w:bookmarkEnd w:id="255"/>
      <w:bookmarkEnd w:id="256"/>
      <w:bookmarkEnd w:id="257"/>
      <w:bookmarkEnd w:id="258"/>
      <w:bookmarkEnd w:id="259"/>
      <w:bookmarkEnd w:id="260"/>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78588066"/>
      <w:bookmarkStart w:id="263" w:name="_Toc187327053"/>
      <w:bookmarkStart w:id="264" w:name="_Toc178761332"/>
      <w:bookmarkStart w:id="265" w:name="_Toc530662900"/>
      <w:bookmarkStart w:id="266" w:name="inhalte1"/>
      <w:bookmarkStart w:id="267" w:name="_Toc531165035"/>
      <w:bookmarkStart w:id="268" w:name="rl%252525252525252525252525252525252525p"/>
      <w:bookmarkEnd w:id="261"/>
      <w:bookmarkEnd w:id="268"/>
      <w:r>
        <w:rPr>
          <w:shd w:fill="EEEEEE" w:val="clear"/>
          <w:lang w:val="de-DE"/>
        </w:rPr>
        <w:t>Inhalte</w:t>
      </w:r>
      <w:bookmarkEnd w:id="262"/>
      <w:bookmarkEnd w:id="263"/>
      <w:bookmarkEnd w:id="264"/>
      <w:bookmarkEnd w:id="265"/>
      <w:bookmarkEnd w:id="266"/>
      <w:bookmarkEnd w:id="267"/>
    </w:p>
    <w:p>
      <w:pPr>
        <w:pStyle w:val="Normal"/>
        <w:rPr>
          <w:highlight w:val="none"/>
          <w:shd w:fill="EEEEEE" w:val="clear"/>
        </w:rPr>
      </w:pPr>
      <w:r>
        <w:rPr>
          <w:shd w:fill="EEEEEE" w:val="clear"/>
          <w:lang w:val="de-DE"/>
        </w:rPr>
        <w:t>Jede IS-Richtlinie MUSS folgende Anforderungen erfüllen:</w:t>
      </w:r>
    </w:p>
    <w:p>
      <w:pPr>
        <w:pStyle w:val="Liste1"/>
        <w:numPr>
          <w:ilvl w:val="0"/>
          <w:numId w:val="288"/>
        </w:numPr>
        <w:spacing w:lineRule="auto" w:line="250"/>
        <w:rPr>
          <w:highlight w:val="none"/>
          <w:shd w:fill="EEEEEE" w:val="clear"/>
        </w:rPr>
      </w:pPr>
      <w:r>
        <w:rPr>
          <w:shd w:fill="EEEEEE" w:val="clear"/>
          <w:lang w:val="de-DE"/>
        </w:rPr>
        <w:t>Sie definiert, für wen sie verbindlich ist (Zielgruppe).</w:t>
      </w:r>
    </w:p>
    <w:p>
      <w:pPr>
        <w:pStyle w:val="Liste1"/>
        <w:numPr>
          <w:ilvl w:val="0"/>
          <w:numId w:val="289"/>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90"/>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91"/>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Toc178588067"/>
      <w:bookmarkStart w:id="271" w:name="_Toc187327054"/>
      <w:bookmarkStart w:id="272" w:name="_Ref179189056"/>
      <w:bookmarkStart w:id="273" w:name="_Ref179187911"/>
      <w:bookmarkStart w:id="274" w:name="_Ref179186674"/>
      <w:bookmarkStart w:id="275" w:name="_Toc178761333"/>
      <w:bookmarkStart w:id="276" w:name="_Ref179188801"/>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_Toc530662901"/>
      <w:bookmarkStart w:id="279" w:name="regelungen_fuer_nutzer"/>
      <w:bookmarkStart w:id="280" w:name="_Ref184204449"/>
      <w:bookmarkStart w:id="281" w:name="_Toc178761334"/>
      <w:bookmarkStart w:id="282" w:name="_Toc178588068"/>
      <w:bookmarkStart w:id="283" w:name="_Toc187327055"/>
      <w:bookmarkStart w:id="284" w:name="rl%252525252525252525252525252525252525q"/>
      <w:bookmarkStart w:id="285" w:name="_Toc531165036"/>
      <w:bookmarkEnd w:id="277"/>
      <w:bookmarkEnd w:id="284"/>
      <w:r>
        <w:rPr>
          <w:shd w:fill="EEEEEE" w:val="clear"/>
          <w:lang w:val="de-DE"/>
        </w:rPr>
        <w:t>Regelungen für Nutzer</w:t>
      </w:r>
      <w:bookmarkEnd w:id="278"/>
      <w:bookmarkEnd w:id="279"/>
      <w:bookmarkEnd w:id="280"/>
      <w:bookmarkEnd w:id="281"/>
      <w:bookmarkEnd w:id="282"/>
      <w:bookmarkEnd w:id="283"/>
      <w:bookmarkEnd w:id="285"/>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92"/>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93"/>
        </w:numPr>
        <w:rPr>
          <w:highlight w:val="none"/>
          <w:shd w:fill="EEEEEE" w:val="clear"/>
          <w:lang w:val="de-DE"/>
        </w:rPr>
      </w:pPr>
      <w:r>
        <w:rPr>
          <w:shd w:fill="EEEEEE" w:val="clear"/>
          <w:lang w:val="de-DE"/>
        </w:rPr>
        <w:t>Privatnutzung</w:t>
      </w:r>
    </w:p>
    <w:p>
      <w:pPr>
        <w:pStyle w:val="10000-DefaultParagraph"/>
        <w:numPr>
          <w:ilvl w:val="1"/>
          <w:numId w:val="294"/>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95"/>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96"/>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97"/>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_Toc530662902"/>
      <w:bookmarkStart w:id="290" w:name="_Toc531165037"/>
      <w:bookmarkStart w:id="291" w:name="_Toc187327056"/>
      <w:bookmarkStart w:id="292" w:name="del_6.5del_weitere_regelungen"/>
      <w:bookmarkStart w:id="293" w:name="_Toc178588069"/>
      <w:bookmarkStart w:id="294" w:name="_Toc178761335"/>
      <w:bookmarkStart w:id="295" w:name="rl%252525252525252525252525252525252525r"/>
      <w:bookmarkEnd w:id="288"/>
      <w:bookmarkEnd w:id="295"/>
      <w:r>
        <w:rPr>
          <w:shd w:fill="EEEEEE" w:val="clear"/>
          <w:lang w:val="de-DE"/>
        </w:rPr>
        <w:t xml:space="preserve">Weitere </w:t>
      </w:r>
      <w:bookmarkEnd w:id="289"/>
      <w:bookmarkEnd w:id="290"/>
      <w:bookmarkEnd w:id="292"/>
      <w:bookmarkEnd w:id="293"/>
      <w:bookmarkEnd w:id="294"/>
      <w:r>
        <w:rPr>
          <w:shd w:fill="EEEEEE" w:val="clear"/>
          <w:lang w:val="de-DE"/>
        </w:rPr>
        <w:t>Richtlinien</w:t>
      </w:r>
      <w:bookmarkEnd w:id="291"/>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98"/>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299"/>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0"/>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1"/>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2"/>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3"/>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rl%252525252525252525252525252525252525s"/>
      <w:bookmarkStart w:id="298" w:name="mitarbeiter_del_personaldel"/>
      <w:bookmarkStart w:id="299" w:name="_Toc178761336"/>
      <w:bookmarkStart w:id="300" w:name="_Toc187327057"/>
      <w:bookmarkStart w:id="301" w:name="_Toc530662903"/>
      <w:bookmarkStart w:id="302" w:name="_Toc178588070"/>
      <w:bookmarkStart w:id="303" w:name="_Ref184204459"/>
      <w:bookmarkStart w:id="304" w:name="_Toc531165038"/>
      <w:bookmarkEnd w:id="296"/>
      <w:bookmarkEnd w:id="297"/>
      <w:r>
        <w:rPr>
          <w:shd w:fill="EEEEEE" w:val="clear"/>
          <w:lang w:val="de-DE"/>
        </w:rPr>
        <w:t>Mitarbeiter</w:t>
      </w:r>
      <w:bookmarkEnd w:id="298"/>
      <w:bookmarkEnd w:id="299"/>
      <w:bookmarkEnd w:id="300"/>
      <w:bookmarkEnd w:id="301"/>
      <w:bookmarkEnd w:id="302"/>
      <w:bookmarkEnd w:id="303"/>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_Toc178761337"/>
      <w:bookmarkStart w:id="309" w:name="rl%252525252525252525252525252525252525t"/>
      <w:bookmarkStart w:id="310" w:name="_Toc530662904"/>
      <w:bookmarkStart w:id="311" w:name="_Toc178588071"/>
      <w:bookmarkStart w:id="312" w:name="_Toc531165039"/>
      <w:bookmarkStart w:id="313" w:name="_Toc187327059"/>
      <w:bookmarkEnd w:id="307"/>
      <w:bookmarkEnd w:id="309"/>
      <w:r>
        <w:rPr>
          <w:shd w:fill="EEEEEE" w:val="clear"/>
          <w:lang w:val="de-DE"/>
        </w:rPr>
        <w:t>Vor Aufnahme der Tätigkeit</w:t>
      </w:r>
      <w:bookmarkEnd w:id="308"/>
      <w:bookmarkEnd w:id="310"/>
      <w:bookmarkEnd w:id="311"/>
      <w:bookmarkEnd w:id="312"/>
      <w:bookmarkEnd w:id="313"/>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78588072"/>
      <w:bookmarkStart w:id="316" w:name="_Toc530662905"/>
      <w:bookmarkStart w:id="317" w:name="_Ref184204468"/>
      <w:bookmarkStart w:id="318" w:name="rl%252525252525252525252525252525252525u"/>
      <w:bookmarkStart w:id="319" w:name="_Toc178761338"/>
      <w:bookmarkStart w:id="320" w:name="_Toc187327060"/>
      <w:bookmarkStart w:id="321" w:name="_Toc531165040"/>
      <w:bookmarkEnd w:id="314"/>
      <w:bookmarkEnd w:id="318"/>
      <w:r>
        <w:rPr>
          <w:shd w:fill="EEEEEE" w:val="clear"/>
          <w:lang w:val="de-DE"/>
        </w:rPr>
        <w:t>Aufnahme der Tätigkeit</w:t>
      </w:r>
      <w:bookmarkEnd w:id="315"/>
      <w:bookmarkEnd w:id="316"/>
      <w:bookmarkEnd w:id="317"/>
      <w:bookmarkEnd w:id="319"/>
      <w:bookmarkEnd w:id="320"/>
      <w:bookmarkEnd w:id="321"/>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304"/>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305"/>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306"/>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307"/>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Toc530662906"/>
      <w:bookmarkStart w:id="324" w:name="_Toc178588073"/>
      <w:bookmarkStart w:id="325" w:name="_Toc531165041"/>
      <w:bookmarkStart w:id="326" w:name="_Toc178761339"/>
      <w:bookmarkStart w:id="327" w:name="_Ref184204478"/>
      <w:bookmarkStart w:id="328" w:name="beendigung_oder_wechsel_der_anstellung"/>
      <w:bookmarkStart w:id="329" w:name="rl%252525252525252525252525252525252525v"/>
      <w:bookmarkStart w:id="330" w:name="_Toc187327061"/>
      <w:bookmarkEnd w:id="322"/>
      <w:bookmarkEnd w:id="329"/>
      <w:r>
        <w:rPr>
          <w:shd w:fill="EEEEEE" w:val="clear"/>
          <w:lang w:val="de-DE"/>
        </w:rPr>
        <w:t xml:space="preserve">Beendigung oder Wechsel der </w:t>
      </w:r>
      <w:bookmarkEnd w:id="328"/>
      <w:r>
        <w:rPr>
          <w:shd w:fill="EEEEEE" w:val="clear"/>
          <w:lang w:val="de-DE"/>
        </w:rPr>
        <w:t>Tätigkeit</w:t>
      </w:r>
      <w:bookmarkEnd w:id="323"/>
      <w:bookmarkEnd w:id="324"/>
      <w:bookmarkEnd w:id="325"/>
      <w:bookmarkEnd w:id="326"/>
      <w:bookmarkEnd w:id="327"/>
      <w:bookmarkEnd w:id="33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308"/>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309"/>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310"/>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_Ref184204485"/>
      <w:bookmarkStart w:id="333" w:name="rl%252525252525252525252525252525252525w"/>
      <w:bookmarkStart w:id="334" w:name="_Toc178588074"/>
      <w:bookmarkStart w:id="335" w:name="wissen"/>
      <w:bookmarkStart w:id="336" w:name="_Toc178761340"/>
      <w:bookmarkStart w:id="337" w:name="_Toc530662907"/>
      <w:bookmarkStart w:id="338" w:name="_Toc187327062"/>
      <w:bookmarkStart w:id="339" w:name="_Toc531165042"/>
      <w:bookmarkEnd w:id="331"/>
      <w:bookmarkEnd w:id="333"/>
      <w:r>
        <w:rPr>
          <w:shd w:fill="EEEEEE" w:val="clear"/>
          <w:lang w:val="de-DE"/>
        </w:rPr>
        <w:t>Wissen</w:t>
      </w:r>
      <w:bookmarkEnd w:id="332"/>
      <w:bookmarkEnd w:id="334"/>
      <w:bookmarkEnd w:id="335"/>
      <w:bookmarkEnd w:id="336"/>
      <w:bookmarkEnd w:id="337"/>
      <w:bookmarkEnd w:id="338"/>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rl%252525252525252525252525252525252525x"/>
      <w:bookmarkStart w:id="344" w:name="_Ref184204495"/>
      <w:bookmarkStart w:id="345" w:name="_Toc187327064"/>
      <w:bookmarkStart w:id="346" w:name="_Toc178761341"/>
      <w:bookmarkStart w:id="347" w:name="aktualitaet_des_wissens"/>
      <w:bookmarkStart w:id="348" w:name="_Toc531165043"/>
      <w:bookmarkStart w:id="349" w:name="_Toc530662908"/>
      <w:bookmarkStart w:id="350" w:name="_Toc178588075"/>
      <w:bookmarkEnd w:id="342"/>
      <w:bookmarkEnd w:id="343"/>
      <w:r>
        <w:rPr>
          <w:lang w:val="de-DE"/>
        </w:rPr>
        <w:t>Aktualität des Wissens</w:t>
      </w:r>
      <w:bookmarkEnd w:id="344"/>
      <w:bookmarkEnd w:id="345"/>
      <w:bookmarkEnd w:id="346"/>
      <w:bookmarkEnd w:id="347"/>
      <w:bookmarkEnd w:id="348"/>
      <w:bookmarkEnd w:id="349"/>
      <w:bookmarkEnd w:id="35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311"/>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7"/>
      </w:r>
    </w:p>
    <w:p>
      <w:pPr>
        <w:pStyle w:val="Liste1"/>
        <w:numPr>
          <w:ilvl w:val="0"/>
          <w:numId w:val="312"/>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313"/>
        </w:numPr>
        <w:spacing w:lineRule="auto" w:line="247"/>
        <w:rPr>
          <w:highlight w:val="none"/>
          <w:shd w:fill="EEEEEE" w:val="clear"/>
        </w:rPr>
      </w:pPr>
      <w:r>
        <w:rPr>
          <w:shd w:fill="auto" w:val="clear"/>
        </w:rPr>
        <w:t>Es werden regelmäßig aus verlässlichen Quellen Informationen über die Weiterentwicklung von Sicherheitsmaßnahmen ￹(…) FIXME</w:t>
      </w:r>
    </w:p>
    <w:p>
      <w:pPr>
        <w:pStyle w:val="Liste1"/>
        <w:numPr>
          <w:ilvl w:val="0"/>
          <w:numId w:val="314"/>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315"/>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316"/>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_Toc531165044"/>
      <w:bookmarkStart w:id="353" w:name="rl%252525252525252525252525252525252525y"/>
      <w:bookmarkStart w:id="354" w:name="_Toc530662909"/>
      <w:bookmarkStart w:id="355" w:name="_Toc178761342"/>
      <w:bookmarkStart w:id="356" w:name="_Toc187327065"/>
      <w:bookmarkStart w:id="357" w:name="_Ref184300217"/>
      <w:bookmarkStart w:id="358" w:name="_Toc178588076"/>
      <w:bookmarkStart w:id="359" w:name="schulung_und_sensibilisierung_del_sensib"/>
      <w:bookmarkEnd w:id="351"/>
      <w:bookmarkEnd w:id="353"/>
      <w:commentRangeStart w:id="8"/>
      <w:r>
        <w:rPr>
          <w:shd w:fill="EEEEEE" w:val="clear"/>
          <w:lang w:val="de-DE"/>
        </w:rPr>
        <w:t>Schulung und Sensibilisierung</w:t>
      </w:r>
      <w:bookmarkEnd w:id="352"/>
      <w:bookmarkEnd w:id="354"/>
      <w:bookmarkEnd w:id="355"/>
      <w:bookmarkEnd w:id="356"/>
      <w:bookmarkEnd w:id="357"/>
      <w:bookmarkEnd w:id="358"/>
      <w:bookmarkEnd w:id="359"/>
      <w:commentRangeEnd w:id="8"/>
      <w:r>
        <w:commentReference w:id="8"/>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317"/>
        </w:numPr>
        <w:spacing w:lineRule="auto" w:line="250"/>
        <w:rPr>
          <w:highlight w:val="none"/>
          <w:shd w:fill="EEEEEE" w:val="clear"/>
        </w:rPr>
      </w:pPr>
      <w:r>
        <w:rPr>
          <w:shd w:fill="EEEEEE" w:val="clear"/>
        </w:rPr>
        <w:t>Sie werden regelmäßig sowie bei Bedarf durchgeführt.</w:t>
      </w:r>
    </w:p>
    <w:p>
      <w:pPr>
        <w:pStyle w:val="Liste1"/>
        <w:numPr>
          <w:ilvl w:val="0"/>
          <w:numId w:val="318"/>
        </w:numPr>
        <w:spacing w:lineRule="auto" w:line="250"/>
        <w:rPr>
          <w:highlight w:val="none"/>
          <w:shd w:fill="EEEEEE" w:val="clear"/>
        </w:rPr>
      </w:pPr>
      <w:r>
        <w:rPr>
          <w:shd w:fill="EEEEEE" w:val="clear"/>
        </w:rPr>
        <w:t>Ihre Art und ihr Intervall werden zielgruppenorientiert festgelegt.</w:t>
      </w:r>
    </w:p>
    <w:p>
      <w:pPr>
        <w:pStyle w:val="Liste1"/>
        <w:numPr>
          <w:ilvl w:val="0"/>
          <w:numId w:val="319"/>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320"/>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321"/>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22"/>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23"/>
        </w:numPr>
        <w:spacing w:lineRule="auto" w:line="250" w:before="0" w:after="120"/>
        <w:rPr>
          <w:shd w:fill="auto" w:val="clear"/>
          <w:lang w:val="de-DE"/>
        </w:rPr>
      </w:pPr>
      <w:r>
        <w:rPr>
          <w:shd w:fill="auto" w:val="clear"/>
          <w:lang w:val="de-DE"/>
        </w:rPr>
        <w:t xml:space="preserve">Es werden regelmäßig und bei Bedarf Schulungen und Sensibilisierungsmaßnahmen für das Topmanagement durchgeführt, die (…) vermitteln. </w:t>
      </w:r>
      <w:commentRangeStart w:id="9"/>
      <w:r>
        <w:rPr>
          <w:shd w:fill="auto" w:val="clear"/>
          <w:lang w:val="de-DE"/>
        </w:rPr>
        <w:t>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9"/>
      <w:r>
        <w:commentReference w:id="9"/>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4"/>
        </w:numPr>
        <w:suppressAutoHyphens w:val="false"/>
        <w:overflowPunct w:val="tru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„kritisch“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0"/>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0"/>
      <w:r>
        <w:commentReference w:id="10"/>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rl%252525252525252525252525252525252525z"/>
      <w:bookmarkStart w:id="365" w:name="_Toc178761344"/>
      <w:bookmarkStart w:id="366" w:name="_Toc531165046"/>
      <w:bookmarkStart w:id="367" w:name="_Toc187327068"/>
      <w:bookmarkStart w:id="368" w:name="_Toc178588078"/>
      <w:bookmarkStart w:id="369" w:name="_Toc530662911"/>
      <w:bookmarkStart w:id="370" w:name="prozesse"/>
      <w:bookmarkEnd w:id="363"/>
      <w:bookmarkEnd w:id="364"/>
      <w:r>
        <w:rPr>
          <w:shd w:fill="EEEEEE" w:val="clear"/>
          <w:lang w:val="de-DE"/>
        </w:rPr>
        <w:t>Prozesse</w:t>
      </w:r>
      <w:bookmarkEnd w:id="365"/>
      <w:bookmarkEnd w:id="366"/>
      <w:bookmarkEnd w:id="367"/>
      <w:bookmarkEnd w:id="368"/>
      <w:bookmarkEnd w:id="369"/>
      <w:bookmarkEnd w:id="370"/>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24"/>
        </w:numPr>
        <w:spacing w:lineRule="auto" w:line="250"/>
        <w:rPr>
          <w:highlight w:val="none"/>
          <w:shd w:fill="EEEEEE" w:val="clear"/>
        </w:rPr>
      </w:pPr>
      <w:r>
        <w:rPr>
          <w:shd w:fill="EEEEEE" w:val="clear"/>
        </w:rPr>
        <w:t>Sie enthält eine kurze Beschreibung des Prozesses.</w:t>
      </w:r>
    </w:p>
    <w:p>
      <w:pPr>
        <w:pStyle w:val="Liste1"/>
        <w:numPr>
          <w:ilvl w:val="0"/>
          <w:numId w:val="325"/>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26"/>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27"/>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28"/>
        </w:numPr>
        <w:rPr>
          <w:lang w:val="de-DE"/>
        </w:rPr>
      </w:pPr>
      <w:r>
        <w:rPr>
          <w:lang w:val="de-DE"/>
        </w:rPr>
        <w:t>Sie enthält eine kurze Beschreibung der wichtigen IT-Ressource.</w:t>
      </w:r>
    </w:p>
    <w:p>
      <w:pPr>
        <w:pStyle w:val="Liste1"/>
        <w:numPr>
          <w:ilvl w:val="0"/>
          <w:numId w:val="329"/>
        </w:numPr>
        <w:rPr>
          <w:lang w:val="de-DE"/>
        </w:rPr>
      </w:pPr>
      <w:r>
        <w:rPr>
          <w:lang w:val="de-DE"/>
        </w:rPr>
        <w:t>Sie begründet, warum die IT-Ressource wichtig ist.</w:t>
      </w:r>
    </w:p>
    <w:p>
      <w:pPr>
        <w:pStyle w:val="Liste1"/>
        <w:numPr>
          <w:ilvl w:val="0"/>
          <w:numId w:val="330"/>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_Toc178761345"/>
      <w:bookmarkStart w:id="374" w:name="rl%2525252525252525252525252525252525210"/>
      <w:bookmarkStart w:id="375" w:name="_Toc187327069"/>
      <w:bookmarkStart w:id="376" w:name="_Toc178588079"/>
      <w:bookmarkStart w:id="377" w:name="_Ref178762353"/>
      <w:bookmarkStart w:id="378" w:name="_Ref178762340"/>
      <w:bookmarkEnd w:id="372"/>
      <w:bookmarkEnd w:id="374"/>
      <w:r>
        <w:rPr>
          <w:shd w:fill="EEEEEE" w:val="clear"/>
          <w:lang w:val="de-DE"/>
        </w:rPr>
        <w:t xml:space="preserve">Kritische </w:t>
      </w:r>
      <w:bookmarkStart w:id="379" w:name="_Toc531165047"/>
      <w:bookmarkStart w:id="380" w:name="_Toc530662912"/>
      <w:bookmarkStart w:id="381" w:name="_Ref530719418"/>
      <w:r>
        <w:rPr>
          <w:shd w:fill="EEEEEE" w:val="clear"/>
          <w:lang w:val="de-DE"/>
        </w:rPr>
        <w:t>Informationen</w:t>
      </w:r>
      <w:bookmarkEnd w:id="373"/>
      <w:bookmarkEnd w:id="375"/>
      <w:bookmarkEnd w:id="376"/>
      <w:bookmarkEnd w:id="377"/>
      <w:bookmarkEnd w:id="378"/>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31"/>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32"/>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33"/>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34"/>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rl%2525252525252525252525252525252525211"/>
      <w:bookmarkStart w:id="384" w:name="_Toc178588080"/>
      <w:bookmarkStart w:id="385" w:name="_Toc187327070"/>
      <w:bookmarkStart w:id="386" w:name="_Ref184200952"/>
      <w:bookmarkStart w:id="387" w:name="_Ref184201031"/>
      <w:bookmarkStart w:id="388" w:name="_Ref184201086"/>
      <w:bookmarkStart w:id="389" w:name="_Ref179186143"/>
      <w:bookmarkStart w:id="390" w:name="_Toc178761346"/>
      <w:bookmarkEnd w:id="382"/>
      <w:bookmarkEnd w:id="383"/>
      <w:r>
        <w:rPr>
          <w:shd w:fill="EEEEEE" w:val="clear"/>
          <w:lang w:val="de-DE"/>
        </w:rPr>
        <w:t xml:space="preserve">Kritische </w:t>
      </w:r>
      <w:bookmarkStart w:id="391" w:name="it-ressourcen_del_it-systeme_mobile_date"/>
      <w:bookmarkStart w:id="392" w:name="_Toc530662913"/>
      <w:bookmarkStart w:id="393" w:name="_Toc531165048"/>
      <w:r>
        <w:rPr>
          <w:shd w:fill="EEEEEE" w:val="clear"/>
          <w:lang w:val="de-DE"/>
        </w:rPr>
        <w:t>IT-Ressourcen</w:t>
      </w:r>
      <w:bookmarkEnd w:id="384"/>
      <w:bookmarkEnd w:id="385"/>
      <w:bookmarkEnd w:id="386"/>
      <w:bookmarkEnd w:id="387"/>
      <w:bookmarkEnd w:id="388"/>
      <w:bookmarkEnd w:id="389"/>
      <w:bookmarkEnd w:id="390"/>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35"/>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36"/>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_Toc531165049"/>
      <w:bookmarkStart w:id="397" w:name="_Toc187327071"/>
      <w:bookmarkStart w:id="398" w:name="it-systeme"/>
      <w:bookmarkStart w:id="399" w:name="rl%2525252525252525252525252525252525212"/>
      <w:bookmarkStart w:id="400" w:name="_Toc178761347"/>
      <w:bookmarkStart w:id="401" w:name="_Toc178588081"/>
      <w:bookmarkStart w:id="402" w:name="_Toc530662914"/>
      <w:bookmarkEnd w:id="395"/>
      <w:bookmarkEnd w:id="399"/>
      <w:r>
        <w:rPr>
          <w:shd w:fill="EEEEEE" w:val="clear"/>
          <w:lang w:val="de-DE"/>
        </w:rPr>
        <w:t>IT-Systeme</w:t>
      </w:r>
      <w:bookmarkEnd w:id="396"/>
      <w:bookmarkEnd w:id="397"/>
      <w:bookmarkEnd w:id="398"/>
      <w:bookmarkEnd w:id="400"/>
      <w:bookmarkEnd w:id="401"/>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_Toc178761348"/>
      <w:bookmarkStart w:id="407" w:name="inventarisierung_und_dokumentation"/>
      <w:bookmarkStart w:id="408" w:name="_Toc531165050"/>
      <w:bookmarkStart w:id="409" w:name="_Toc530662915"/>
      <w:bookmarkStart w:id="410" w:name="_Toc178588082"/>
      <w:bookmarkStart w:id="411" w:name="_Ref179186274"/>
      <w:bookmarkStart w:id="412" w:name="_Ref179186163"/>
      <w:bookmarkStart w:id="413" w:name="rl%2525252525252525252525252525252525213"/>
      <w:bookmarkStart w:id="414" w:name="_Toc187327073"/>
      <w:bookmarkEnd w:id="405"/>
      <w:bookmarkEnd w:id="413"/>
      <w:r>
        <w:rPr>
          <w:shd w:fill="EEEEEE" w:val="clear"/>
          <w:lang w:val="de-DE"/>
        </w:rPr>
        <w:t>Inventarisierung</w:t>
      </w:r>
      <w:bookmarkEnd w:id="406"/>
      <w:bookmarkEnd w:id="407"/>
      <w:bookmarkEnd w:id="408"/>
      <w:bookmarkEnd w:id="409"/>
      <w:bookmarkEnd w:id="410"/>
      <w:bookmarkEnd w:id="411"/>
      <w:bookmarkEnd w:id="412"/>
      <w:bookmarkEnd w:id="414"/>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37"/>
        </w:numPr>
        <w:rPr>
          <w:highlight w:val="none"/>
          <w:shd w:fill="EEEEEE" w:val="clear"/>
          <w:lang w:val="de-DE"/>
        </w:rPr>
      </w:pPr>
      <w:r>
        <w:rPr>
          <w:shd w:fill="EEEEEE" w:val="clear"/>
          <w:lang w:val="de-DE"/>
        </w:rPr>
        <w:t>Eindeutiges Identifizierungsmerkmal</w:t>
      </w:r>
    </w:p>
    <w:p>
      <w:pPr>
        <w:pStyle w:val="10000-DefaultParagraph"/>
        <w:numPr>
          <w:ilvl w:val="0"/>
          <w:numId w:val="338"/>
        </w:numPr>
        <w:rPr>
          <w:highlight w:val="none"/>
          <w:shd w:fill="EEEEEE" w:val="clear"/>
          <w:lang w:val="de-DE"/>
        </w:rPr>
      </w:pPr>
      <w:r>
        <w:rPr>
          <w:shd w:fill="EEEEEE" w:val="clear"/>
          <w:lang w:val="de-DE"/>
        </w:rPr>
        <w:t>Informationen, die eine schnelle Lokalisierung erlauben</w:t>
      </w:r>
    </w:p>
    <w:p>
      <w:pPr>
        <w:pStyle w:val="10000-DefaultParagraph"/>
        <w:numPr>
          <w:ilvl w:val="0"/>
          <w:numId w:val="339"/>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highlight w:val="none"/>
          <w:shd w:fill="EEEEEE" w:val="clear"/>
        </w:rPr>
      </w:pPr>
      <w:bookmarkStart w:id="415" w:name="__RefHeading___Toc32018_2021121348"/>
      <w:bookmarkStart w:id="416" w:name="_Toc178761349"/>
      <w:bookmarkStart w:id="417" w:name="_Toc530662916"/>
      <w:bookmarkStart w:id="418" w:name="_Toc187327074"/>
      <w:bookmarkStart w:id="419" w:name="rl%2525252525252525252525252525252525214"/>
      <w:bookmarkStart w:id="420" w:name="_Toc178588083"/>
      <w:bookmarkStart w:id="421" w:name="lebenszyklus"/>
      <w:bookmarkStart w:id="422" w:name="_Toc531165051"/>
      <w:bookmarkEnd w:id="415"/>
      <w:bookmarkEnd w:id="419"/>
      <w:r>
        <w:rPr>
          <w:shd w:fill="EEEEEE" w:val="clear"/>
          <w:lang w:val="de-DE"/>
        </w:rPr>
        <w:t>Lebenszyklus</w:t>
      </w:r>
      <w:bookmarkEnd w:id="416"/>
      <w:bookmarkEnd w:id="417"/>
      <w:bookmarkEnd w:id="418"/>
      <w:bookmarkEnd w:id="420"/>
      <w:bookmarkEnd w:id="421"/>
      <w:bookmarkEnd w:id="422"/>
    </w:p>
    <w:p>
      <w:pPr>
        <w:pStyle w:val="Heading3"/>
        <w:ind w:hanging="0" w:left="0"/>
        <w:rPr>
          <w:highlight w:val="none"/>
          <w:shd w:fill="EEEEEE" w:val="clear"/>
        </w:rPr>
      </w:pPr>
      <w:bookmarkStart w:id="423" w:name="__RefHeading___Toc32020_2021121348"/>
      <w:bookmarkStart w:id="424" w:name="_Toc187327075"/>
      <w:bookmarkEnd w:id="423"/>
      <w:r>
        <w:rPr>
          <w:shd w:fill="EEEEEE" w:val="clea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40"/>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1"/>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2"/>
        </w:numPr>
        <w:rPr>
          <w:lang w:val="de-DE"/>
        </w:rPr>
      </w:pPr>
      <w:r>
        <w:rPr>
          <w:lang w:val="de-DE"/>
        </w:rPr>
        <w:t>Es wird festgelegt, für welchen Zeitraum der Anbieter Sicherheitsupdates zur Verfügung stellt.</w:t>
      </w:r>
    </w:p>
    <w:p>
      <w:pPr>
        <w:pStyle w:val="Normal"/>
        <w:numPr>
          <w:ilvl w:val="0"/>
          <w:numId w:val="343"/>
        </w:numPr>
        <w:rPr>
          <w:lang w:val="de-DE"/>
        </w:rPr>
      </w:pPr>
      <w:r>
        <w:rPr>
          <w:lang w:val="de-DE"/>
        </w:rPr>
      </w:r>
    </w:p>
    <w:p>
      <w:pPr>
        <w:pStyle w:val="Heading3"/>
        <w:ind w:hanging="0" w:left="0"/>
        <w:rPr>
          <w:highlight w:val="none"/>
          <w:shd w:fill="EEEEEE" w:val="clear"/>
        </w:rPr>
      </w:pPr>
      <w:bookmarkStart w:id="426" w:name="__RefHeading___inbetriebnahme_und_aender"/>
      <w:bookmarkStart w:id="427" w:name="rl%2525252525252525252525252525252525215"/>
      <w:bookmarkStart w:id="428" w:name="_Toc530662917"/>
      <w:bookmarkStart w:id="429" w:name="_Ref178769420"/>
      <w:bookmarkStart w:id="430" w:name="_Toc178761350"/>
      <w:bookmarkStart w:id="431" w:name="inbetriebnahme_und_aenderung"/>
      <w:bookmarkStart w:id="432" w:name="_Ref178769419"/>
      <w:bookmarkStart w:id="433" w:name="_Toc531165052"/>
      <w:bookmarkStart w:id="434" w:name="_Ref178769481"/>
      <w:bookmarkStart w:id="435" w:name="_Toc187327076"/>
      <w:bookmarkEnd w:id="426"/>
      <w:bookmarkEnd w:id="427"/>
      <w:r>
        <w:rPr>
          <w:shd w:fill="EEEEEE" w:val="clear"/>
          <w:lang w:val="de-DE"/>
        </w:rPr>
        <w:t>Inbetriebnahme und Änderung</w:t>
      </w:r>
      <w:bookmarkEnd w:id="428"/>
      <w:bookmarkEnd w:id="429"/>
      <w:bookmarkEnd w:id="430"/>
      <w:bookmarkEnd w:id="431"/>
      <w:bookmarkEnd w:id="432"/>
      <w:bookmarkEnd w:id="433"/>
      <w:bookmarkEnd w:id="434"/>
      <w:bookmarkEnd w:id="435"/>
    </w:p>
    <w:p>
      <w:pPr>
        <w:pStyle w:val="Normal"/>
        <w:rPr>
          <w:highlight w:val="none"/>
          <w:shd w:fill="EEEEEE" w:val="clear"/>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_Ref179186091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die Inbetriebnahme und Änderung der IT-Systeme implementiert werden, das folgende Punkte sicherstellt:</w:t>
      </w:r>
    </w:p>
    <w:p>
      <w:pPr>
        <w:pStyle w:val="Liste1"/>
        <w:numPr>
          <w:ilvl w:val="0"/>
          <w:numId w:val="344"/>
        </w:numPr>
        <w:rPr>
          <w:lang w:val="de-DE"/>
        </w:rPr>
      </w:pPr>
      <w:r>
        <w:rPr>
          <w:lang w:val="de-DE"/>
        </w:rPr>
        <w:t>Die Schutzkategorie des IT-Systems wird ermittelt bzw. seine Einstufung überprüft (siehe Kapitel 9).</w:t>
      </w:r>
    </w:p>
    <w:p>
      <w:pPr>
        <w:pStyle w:val="Liste1"/>
        <w:numPr>
          <w:ilvl w:val="0"/>
          <w:numId w:val="345"/>
        </w:numPr>
        <w:rPr>
          <w:lang w:val="de-DE"/>
        </w:rPr>
      </w:pPr>
      <w:r>
        <w:rPr>
          <w:lang w:val="de-DE"/>
        </w:rPr>
        <w:t>Die Maßnahmen der entsprechenden Schutzkategorie werden für das IT-System umgesetzt.</w:t>
      </w:r>
    </w:p>
    <w:p>
      <w:pPr>
        <w:pStyle w:val="10000-DefaultParagraph"/>
        <w:numPr>
          <w:ilvl w:val="0"/>
          <w:numId w:val="346"/>
        </w:numPr>
        <w:rPr/>
      </w:pPr>
      <w:r>
        <w:rPr>
          <w:shd w:fill="EEEEEE" w:val="clear"/>
          <w:lang w:val="de-DE"/>
        </w:rPr>
        <w:t xml:space="preserve">Die Inventarisierung der IT-Systeme (siehe Abschnitt </w:t>
      </w:r>
      <w:r>
        <w:rPr>
          <w:shd w:fill="EEEEEE" w:val="clear"/>
          <w:lang w:val="de-DE"/>
        </w:rPr>
        <w:fldChar w:fldCharType="begin"/>
      </w:r>
      <w:r>
        <w:rPr>
          <w:shd w:fill="EEEEEE" w:val="clear"/>
          <w:lang w:val="de-DE"/>
        </w:rPr>
        <w:instrText xml:space="preserve"> REF _Ref179186163 \n \n \h </w:instrText>
      </w:r>
      <w:r>
        <w:rPr>
          <w:shd w:fill="EEEEEE" w:val="clear"/>
          <w:lang w:val="de-DE"/>
        </w:rPr>
        <w:fldChar w:fldCharType="separate"/>
      </w:r>
      <w:r>
        <w:rPr>
          <w:shd w:fill="EEEEEE" w:val="clear"/>
          <w:lang w:val="de-DE"/>
        </w:rPr>
        <w:t>10.2</w:t>
      </w:r>
      <w:r>
        <w:rPr>
          <w:shd w:fill="EEEEEE" w:val="clear"/>
          <w:lang w:val="de-DE"/>
        </w:rPr>
        <w:fldChar w:fldCharType="end"/>
      </w:r>
      <w:r>
        <w:rPr>
          <w:shd w:fill="EEEEEE" w:val="clear"/>
          <w:lang w:val="de-DE"/>
        </w:rPr>
        <w:t xml:space="preserve">) und der Netzwerkplan (siehe </w:t>
      </w:r>
      <w:r>
        <w:rPr>
          <w:rStyle w:val="Hyperlink"/>
          <w:color w:val="000000"/>
          <w:u w:val="none"/>
          <w:shd w:fill="EEEEEE" w:val="clear"/>
          <w:lang w:val="de-DE"/>
        </w:rPr>
        <w:t xml:space="preserve">Abschnitt </w:t>
      </w:r>
      <w:r>
        <w:rPr>
          <w:shd w:fill="EEEEEE" w:val="clear"/>
          <w:lang w:val="de-DE"/>
        </w:rPr>
        <w:fldChar w:fldCharType="begin"/>
      </w:r>
      <w:r>
        <w:rPr>
          <w:shd w:fill="EEEEEE" w:val="clear"/>
          <w:lang w:val="de-DE"/>
        </w:rPr>
        <w:instrText xml:space="preserve"> REF del_dokumentationdel_netzwerkplan \n \n \h </w:instrText>
      </w:r>
      <w:r>
        <w:rPr>
          <w:shd w:fill="EEEEEE" w:val="clear"/>
          <w:lang w:val="de-DE"/>
        </w:rPr>
        <w:fldChar w:fldCharType="separate"/>
      </w:r>
      <w:r>
        <w:rPr>
          <w:shd w:fill="EEEEEE" w:val="clear"/>
          <w:lang w:val="de-DE"/>
        </w:rPr>
        <w:t>11.2</w:t>
      </w:r>
      <w:r>
        <w:rPr>
          <w:shd w:fill="EEEEEE" w:val="clear"/>
          <w:lang w:val="de-DE"/>
        </w:rPr>
        <w:fldChar w:fldCharType="end"/>
      </w:r>
      <w:r>
        <w:rPr>
          <w:shd w:fill="EEEEEE" w:val="clear"/>
          <w:lang w:val="de-DE"/>
        </w:rPr>
        <w:t>) werden aktualisiert.</w:t>
      </w:r>
    </w:p>
    <w:p>
      <w:pPr>
        <w:pStyle w:val="10000-DefaultParagraph"/>
        <w:numPr>
          <w:ilvl w:val="0"/>
          <w:numId w:val="347"/>
        </w:numPr>
        <w:rPr>
          <w:highlight w:val="none"/>
          <w:shd w:fill="EEEEEE" w:val="clear"/>
        </w:rPr>
      </w:pPr>
      <w:r>
        <w:rPr>
          <w:shd w:fill="EEEEEE" w:val="clear"/>
          <w:lang w:val="de-DE"/>
        </w:rPr>
        <w:t>Bei Inbetriebnahme werden die Arbeitsschritte dokumentiert.</w:t>
      </w:r>
    </w:p>
    <w:p>
      <w:pPr>
        <w:pStyle w:val="Heading3"/>
        <w:ind w:hanging="0" w:left="0"/>
        <w:rPr>
          <w:highlight w:val="none"/>
          <w:shd w:fill="EEEEEE" w:val="clear"/>
        </w:rPr>
      </w:pPr>
      <w:bookmarkStart w:id="436" w:name="__RefHeading___ausmusterung_und_del_weit"/>
      <w:bookmarkStart w:id="437" w:name="ausmusterung_und_del_weiterverwendungdel"/>
      <w:bookmarkStart w:id="438" w:name="rl%2525252525252525252525252525252525216"/>
      <w:bookmarkStart w:id="439" w:name="_Toc530662918"/>
      <w:bookmarkStart w:id="440" w:name="_Toc187327077"/>
      <w:bookmarkStart w:id="441" w:name="_Toc531165053"/>
      <w:bookmarkStart w:id="442" w:name="_Ref178769453"/>
      <w:bookmarkStart w:id="443" w:name="_Toc178761351"/>
      <w:bookmarkEnd w:id="436"/>
      <w:bookmarkEnd w:id="438"/>
      <w:r>
        <w:rPr>
          <w:shd w:fill="EEEEEE" w:val="clear"/>
          <w:lang w:val="de-DE"/>
        </w:rPr>
        <w:t>Ausmusterung und Wiederverwendung</w:t>
      </w:r>
      <w:bookmarkEnd w:id="437"/>
      <w:bookmarkEnd w:id="439"/>
      <w:bookmarkEnd w:id="440"/>
      <w:bookmarkEnd w:id="441"/>
      <w:bookmarkEnd w:id="442"/>
      <w:bookmarkEnd w:id="443"/>
    </w:p>
    <w:p>
      <w:pPr>
        <w:pStyle w:val="Normal"/>
        <w:rPr>
          <w:highlight w:val="none"/>
          <w:shd w:fill="EEEEEE" w:val="clear"/>
        </w:rPr>
      </w:pPr>
      <w:r>
        <w:rPr>
          <w:shd w:fill="EEEEEE" w:val="clear"/>
        </w:rPr>
        <w:t xml:space="preserve">Es MUSS ein Verfahren (siehe Anhang </w:t>
      </w:r>
      <w:r>
        <w:rPr>
          <w:shd w:fill="EEEEEE" w:val="clear"/>
        </w:rPr>
        <w:fldChar w:fldCharType="begin"/>
      </w:r>
      <w:r>
        <w:rPr>
          <w:shd w:fill="EEEEEE" w:val="clear"/>
        </w:rPr>
        <w:instrText xml:space="preserve"> REF _Ref179186218 \n \n \h </w:instrText>
      </w:r>
      <w:r>
        <w:rPr>
          <w:shd w:fill="EEEEEE" w:val="clear"/>
        </w:rPr>
        <w:fldChar w:fldCharType="separate"/>
      </w:r>
      <w:r>
        <w:rPr>
          <w:shd w:fill="EEEEEE" w:val="clear"/>
        </w:rPr>
        <w:t>A.1</w:t>
      </w:r>
      <w:r>
        <w:rPr>
          <w:shd w:fill="EEEEEE" w:val="clear"/>
        </w:rPr>
        <w:fldChar w:fldCharType="end"/>
      </w:r>
      <w:r>
        <w:rPr>
          <w:shd w:fill="EEEEEE" w:val="clear"/>
        </w:rPr>
        <w:t>) für das Ausmustern und Wiederverwenden der IT-Systeme implementiert werden, das folgende Punkte sicherstellt:</w:t>
      </w:r>
    </w:p>
    <w:p>
      <w:pPr>
        <w:pStyle w:val="Liste1"/>
        <w:numPr>
          <w:ilvl w:val="0"/>
          <w:numId w:val="348"/>
        </w:numPr>
        <w:spacing w:lineRule="auto" w:line="250"/>
        <w:rPr>
          <w:highlight w:val="none"/>
          <w:shd w:fill="EEEEEE" w:val="clear"/>
        </w:rPr>
      </w:pPr>
      <w:r>
        <w:rPr>
          <w:shd w:fill="EEEEEE" w:val="clear"/>
        </w:rPr>
        <w:t>Die auf dem IT-System gespeicherten Informationen werden bei Bedarf gesichert.</w:t>
      </w:r>
    </w:p>
    <w:p>
      <w:pPr>
        <w:pStyle w:val="Liste1"/>
        <w:numPr>
          <w:ilvl w:val="0"/>
          <w:numId w:val="349"/>
        </w:numPr>
        <w:spacing w:lineRule="auto" w:line="250"/>
        <w:rPr>
          <w:highlight w:val="none"/>
          <w:shd w:fill="EEEEEE" w:val="clear"/>
        </w:rPr>
      </w:pPr>
      <w:r>
        <w:rPr>
          <w:shd w:fill="EEEEEE" w:val="clear"/>
        </w:rPr>
        <w:t>Alle Informationen werden vor unrechtmäßigem Zugriff geschützt, indem sie z. B. zuverlässig gelöscht, überschrieben, aus dem IT-System entfernt werden oder indem das IT-System insgesamt zerstört wird.</w:t>
      </w:r>
    </w:p>
    <w:p>
      <w:pPr>
        <w:pStyle w:val="Liste1"/>
        <w:numPr>
          <w:ilvl w:val="0"/>
          <w:numId w:val="350"/>
        </w:numPr>
        <w:spacing w:lineRule="auto" w:line="250"/>
        <w:rPr>
          <w:highlight w:val="none"/>
          <w:shd w:fill="EEEEEE" w:val="clear"/>
        </w:rPr>
      </w:pPr>
      <w:r>
        <w:rPr>
          <w:shd w:fill="EEEEEE" w:val="clear"/>
        </w:rPr>
        <w:t xml:space="preserve">Die Inventarisierung der IT-Systeme (siehe Abschnitt </w:t>
      </w:r>
      <w:r>
        <w:rPr>
          <w:shd w:fill="EEEEEE" w:val="clear"/>
        </w:rPr>
        <w:fldChar w:fldCharType="begin"/>
      </w:r>
      <w:r>
        <w:rPr>
          <w:shd w:fill="EEEEEE" w:val="clear"/>
        </w:rPr>
        <w:instrText xml:space="preserve"> REF _Ref179186274 \n \n \h </w:instrText>
      </w:r>
      <w:r>
        <w:rPr>
          <w:shd w:fill="EEEEEE" w:val="clear"/>
        </w:rPr>
        <w:fldChar w:fldCharType="separate"/>
      </w:r>
      <w:r>
        <w:rPr>
          <w:shd w:fill="EEEEEE" w:val="clear"/>
        </w:rPr>
        <w:t>10.2</w:t>
      </w:r>
      <w:r>
        <w:rPr>
          <w:shd w:fill="EEEEEE" w:val="clear"/>
        </w:rPr>
        <w:fldChar w:fldCharType="end"/>
      </w:r>
      <w:r>
        <w:rPr>
          <w:shd w:fill="EEEEEE" w:val="clear"/>
        </w:rPr>
        <w:t xml:space="preserve">) und der Netzwerkplan (siehe Abschnitt </w:t>
      </w:r>
      <w:r>
        <w:rPr>
          <w:shd w:fill="EEEEEE" w:val="clear"/>
        </w:rPr>
        <w:fldChar w:fldCharType="begin"/>
      </w:r>
      <w:r>
        <w:rPr>
          <w:shd w:fill="EEEEEE" w:val="clear"/>
        </w:rPr>
        <w:instrText xml:space="preserve"> REF del_dokumentationdel_netzwerkplan \n \n \h </w:instrText>
      </w:r>
      <w:r>
        <w:rPr>
          <w:shd w:fill="EEEEEE" w:val="clear"/>
        </w:rPr>
        <w:fldChar w:fldCharType="separate"/>
      </w:r>
      <w:r>
        <w:rPr>
          <w:shd w:fill="EEEEEE" w:val="clear"/>
        </w:rPr>
        <w:t>11.2</w:t>
      </w:r>
      <w:r>
        <w:rPr>
          <w:shd w:fill="EEEEEE" w:val="clear"/>
        </w:rPr>
        <w:fldChar w:fldCharType="end"/>
      </w:r>
      <w:r>
        <w:rPr>
          <w:shd w:fill="EEEEEE" w:val="clear"/>
        </w:rPr>
        <w:t>) werden aktualisiert.</w:t>
      </w:r>
    </w:p>
    <w:p>
      <w:pPr>
        <w:pStyle w:val="Liste1"/>
        <w:numPr>
          <w:ilvl w:val="0"/>
          <w:numId w:val="351"/>
        </w:numPr>
        <w:spacing w:lineRule="auto" w:line="250"/>
        <w:rPr>
          <w:highlight w:val="none"/>
          <w:shd w:fill="EEEEEE" w:val="clear"/>
        </w:rPr>
      </w:pPr>
      <w:r>
        <w:rPr>
          <w:shd w:fill="EEEEEE" w:val="clea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_Toc178588084"/>
      <w:bookmarkStart w:id="446" w:name="rl%2525252525252525252525252525252525217"/>
      <w:bookmarkStart w:id="447" w:name="_Toc531165054"/>
      <w:bookmarkStart w:id="448" w:name="basisschutz"/>
      <w:bookmarkStart w:id="449" w:name="_Toc530662919"/>
      <w:bookmarkStart w:id="450" w:name="_Toc187327078"/>
      <w:bookmarkStart w:id="451" w:name="_Ref178769569"/>
      <w:bookmarkStart w:id="452" w:name="_Toc178761352"/>
      <w:bookmarkEnd w:id="444"/>
      <w:bookmarkEnd w:id="446"/>
      <w:r>
        <w:rPr>
          <w:lang w:val="de-DE"/>
        </w:rPr>
        <w:t>Basisschutz</w:t>
      </w:r>
      <w:bookmarkEnd w:id="445"/>
      <w:bookmarkEnd w:id="447"/>
      <w:bookmarkEnd w:id="448"/>
      <w:bookmarkEnd w:id="449"/>
      <w:bookmarkEnd w:id="450"/>
      <w:bookmarkEnd w:id="451"/>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highlight w:val="none"/>
          <w:shd w:fill="EEEEEE" w:val="clear"/>
        </w:rPr>
      </w:pPr>
      <w:r>
        <w:rPr>
          <w:shd w:fill="EEEEEE" w:val="clear"/>
          <w:lang w:val="de-DE"/>
        </w:rPr>
        <w:t>Die Maßnahmen der folgenden Abschnitte MÜSSEN, sofern eine entsprechende Funktionalität gegeben ist, für alle IT-Systeme implementiert werden.</w:t>
      </w:r>
    </w:p>
    <w:p>
      <w:pPr>
        <w:pStyle w:val="10000-DefaultParagraph"/>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_Ref179186316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_Ref179186333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commentRangeStart w:id="11"/>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commentRangeEnd w:id="11"/>
      <w:r>
        <w:commentReference w:id="11"/>
      </w:r>
      <w:r>
        <w:rPr>
          <w:lang w:val="de-DE"/>
        </w:rPr>
      </w:r>
    </w:p>
    <w:p>
      <w:pPr>
        <w:pStyle w:val="Heading3"/>
        <w:ind w:hanging="0" w:left="0"/>
        <w:rPr>
          <w:highlight w:val="none"/>
          <w:shd w:fill="EEEEEE" w:val="clear"/>
        </w:rPr>
      </w:pPr>
      <w:bookmarkStart w:id="455" w:name="__RefHeading___del_updatesdel_software_5"/>
      <w:bookmarkStart w:id="456" w:name="_Ref184204527"/>
      <w:bookmarkStart w:id="457" w:name="del_updatesdel_software"/>
      <w:bookmarkStart w:id="458" w:name="_Toc531165055"/>
      <w:bookmarkStart w:id="459" w:name="_Toc178761353"/>
      <w:bookmarkStart w:id="460" w:name="rl%2525252525252525252525252525252525218"/>
      <w:bookmarkStart w:id="461" w:name="_Toc187327080"/>
      <w:bookmarkStart w:id="462" w:name="_Toc530662920"/>
      <w:bookmarkEnd w:id="455"/>
      <w:bookmarkEnd w:id="460"/>
      <w:r>
        <w:rPr>
          <w:shd w:fill="EEEEEE" w:val="clear"/>
          <w:lang w:val="de-DE"/>
        </w:rPr>
        <w:t>Software</w:t>
      </w:r>
      <w:bookmarkEnd w:id="456"/>
      <w:bookmarkEnd w:id="457"/>
      <w:bookmarkEnd w:id="458"/>
      <w:bookmarkEnd w:id="459"/>
      <w:bookmarkEnd w:id="461"/>
      <w:bookmarkEnd w:id="462"/>
    </w:p>
    <w:p>
      <w:pPr>
        <w:pStyle w:val="Normal"/>
        <w:rPr>
          <w:highlight w:val="none"/>
          <w:shd w:fill="EEEEEE" w:val="clear"/>
        </w:rPr>
      </w:pPr>
      <w:r>
        <w:rPr>
          <w:shd w:fill="EEEEEE" w:val="clear"/>
        </w:rPr>
        <w:t>System- und Anwendungssoftware MUSS aus vertrauenswürdigen Quellen bezogen werden.</w:t>
      </w:r>
    </w:p>
    <w:p>
      <w:pPr>
        <w:pStyle w:val="Normal"/>
        <w:rPr/>
      </w:pPr>
      <w:r>
        <w:rPr>
          <w:rStyle w:val="Emphasis"/>
          <w:shd w:fill="EEEEEE" w:val="clear"/>
        </w:rPr>
        <w:t>Es SOLLTE ausschließlich System- und Anwendungssoftware eingesetzt werden, die Sicherheitsupdates des Herstellers erhält.</w:t>
      </w:r>
    </w:p>
    <w:p>
      <w:pPr>
        <w:pStyle w:val="Normal"/>
        <w:rPr/>
      </w:pPr>
      <w:r>
        <w:rPr>
          <w:rStyle w:val="Emphasis"/>
          <w:shd w:fill="EEEEEE" w:val="clear"/>
        </w:rPr>
        <w:t>Es SOLLTE nur Software auf IT-Systemen installiert werden, die zur Aufgabenerfüllung benötigt wird; nicht benötigte Software SOLLTE deinstalliert werden.</w:t>
      </w:r>
    </w:p>
    <w:p>
      <w:pPr>
        <w:pStyle w:val="Normal"/>
        <w:rPr/>
      </w:pPr>
      <w:r>
        <w:rPr>
          <w:rStyle w:val="Emphasis"/>
          <w:shd w:fill="EEEEEE" w:val="clear"/>
        </w:rPr>
        <w:t>Sämtliche Zugriffsrechte und Privilegien der Anwendungssoftware SOLLTEN auf ein Mindestmaß reduziert werden.</w:t>
      </w:r>
    </w:p>
    <w:p>
      <w:pPr>
        <w:pStyle w:val="Normal"/>
        <w:rPr>
          <w:highlight w:val="none"/>
          <w:shd w:fill="EEEEEE" w:val="clear"/>
        </w:rPr>
      </w:pPr>
      <w:r>
        <w:rPr>
          <w:shd w:fill="EEEEEE" w:val="clear"/>
          <w:lang w:val="de-DE"/>
        </w:rPr>
        <w:t>Vom Hersteller zur Verfügung gestellte Sicherheitsupdates für die System- und Anwendungssoftware MÜSSEN nach einem implementierten Verfahren (siehe</w:t>
      </w:r>
      <w:r>
        <w:rPr>
          <w:spacing w:val="-2"/>
          <w:shd w:fill="EEEEEE" w:val="clear"/>
          <w:lang w:val="de-DE"/>
        </w:rPr>
        <w:t xml:space="preserve"> Anhang</w:t>
      </w:r>
      <w:r>
        <w:rPr>
          <w:shd w:fill="EEEEEE" w:val="clear"/>
          <w:lang w:val="de-DE"/>
        </w:rPr>
        <w:t> </w:t>
      </w:r>
      <w:r>
        <w:rPr>
          <w:shd w:fill="EEEEEE" w:val="clear"/>
          <w:lang w:val="de-DE"/>
        </w:rPr>
        <w:fldChar w:fldCharType="begin"/>
      </w:r>
      <w:r>
        <w:rPr>
          <w:shd w:fill="EEEEEE" w:val="clear"/>
          <w:lang w:val="de-DE"/>
        </w:rPr>
        <w:instrText xml:space="preserve"> REF _Ref179186357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getestet, bei Eignung freigegeben und nach ihrer Freigabe umgehend in Betrieb genommen werden.</w:t>
      </w:r>
    </w:p>
    <w:p>
      <w:pPr>
        <w:pStyle w:val="Heading3"/>
        <w:ind w:hanging="0" w:left="0"/>
        <w:rPr>
          <w:highlight w:val="none"/>
          <w:shd w:fill="EEEEEE" w:val="clear"/>
        </w:rPr>
      </w:pPr>
      <w:bookmarkStart w:id="463" w:name="__RefHeading___beschraenkung_des_netzwer"/>
      <w:bookmarkStart w:id="464" w:name="rl%2525252525252525252525252525252525219"/>
      <w:bookmarkStart w:id="465" w:name="_Ref184204544"/>
      <w:bookmarkStart w:id="466" w:name="_Toc531165056"/>
      <w:bookmarkStart w:id="467" w:name="_Toc187327081"/>
      <w:bookmarkStart w:id="468" w:name="_Toc178761354"/>
      <w:bookmarkStart w:id="469" w:name="beschraenkung_des_netzwerkverkehrs"/>
      <w:bookmarkStart w:id="470" w:name="_Toc530662921"/>
      <w:bookmarkEnd w:id="463"/>
      <w:bookmarkEnd w:id="464"/>
      <w:r>
        <w:rPr>
          <w:shd w:fill="EEEEEE" w:val="clear"/>
          <w:lang w:val="de-DE"/>
        </w:rPr>
        <w:t>Beschränkung des Netzwerkverkehrs</w:t>
      </w:r>
      <w:bookmarkEnd w:id="465"/>
      <w:bookmarkEnd w:id="466"/>
      <w:bookmarkEnd w:id="467"/>
      <w:bookmarkEnd w:id="468"/>
      <w:bookmarkEnd w:id="469"/>
      <w:bookmarkEnd w:id="470"/>
    </w:p>
    <w:p>
      <w:pPr>
        <w:pStyle w:val="Normal"/>
        <w:rPr>
          <w:highlight w:val="none"/>
          <w:shd w:fill="EEEEEE" w:val="clear"/>
        </w:rPr>
      </w:pPr>
      <w:r>
        <w:rPr>
          <w:shd w:fill="EEEEEE" w:val="clear"/>
        </w:rPr>
        <w:t>Der Netzwerkverkehr von und zu IT-Systemen MUSS auf das für die Funktionsfähigkeit notwendige Minimum beschränkt werden, wenn eines der folgenden Kriterien zutrifft:</w:t>
      </w:r>
    </w:p>
    <w:p>
      <w:pPr>
        <w:pStyle w:val="Liste1"/>
        <w:numPr>
          <w:ilvl w:val="0"/>
          <w:numId w:val="352"/>
        </w:numPr>
        <w:spacing w:lineRule="auto" w:line="250"/>
        <w:rPr>
          <w:highlight w:val="none"/>
          <w:shd w:fill="EEEEEE" w:val="clear"/>
        </w:rPr>
      </w:pPr>
      <w:r>
        <w:rPr>
          <w:spacing w:val="-2"/>
          <w:shd w:fill="EEEEEE" w:val="clear"/>
        </w:rPr>
        <w:t xml:space="preserve">Es existieren über das Netzwerk ausnutzbare Schwachstellen, die sich nicht beheben lassen oder bewusst beibehalten werden (z. B. wenn keine Sicherheitsupdates installiert werden können, </w:t>
      </w:r>
      <w:r>
        <w:rPr>
          <w:shd w:fill="EEEEEE" w:val="clear"/>
        </w:rPr>
        <w:t xml:space="preserve">Authentifizierungsmerkmale </w:t>
      </w:r>
      <w:r>
        <w:rPr>
          <w:spacing w:val="-2"/>
          <w:shd w:fill="EEEEEE" w:val="clear"/>
        </w:rPr>
        <w:t>nicht geändert werden können oder unsichere technische Verfahren eingesetzt werden müssen).</w:t>
      </w:r>
    </w:p>
    <w:p>
      <w:pPr>
        <w:pStyle w:val="Liste1"/>
        <w:numPr>
          <w:ilvl w:val="0"/>
          <w:numId w:val="353"/>
        </w:numPr>
        <w:spacing w:lineRule="auto" w:line="250"/>
        <w:rPr>
          <w:highlight w:val="none"/>
          <w:shd w:fill="EEEEEE" w:val="clear"/>
        </w:rPr>
      </w:pPr>
      <w:r>
        <w:rPr>
          <w:shd w:fill="EEEEEE" w:val="clear"/>
        </w:rPr>
        <w:t>Es handelt sich um besonders exponierte IT-Systeme (z. B. um IT-Systeme, die aus dem Internet erreichbar oder die in öffentlich zugänglichen Räumen platziert sind oder die in weniger vertrauenswürdigen Umgebungen eingesetzt werden).</w:t>
      </w:r>
    </w:p>
    <w:p>
      <w:pPr>
        <w:pStyle w:val="Normal"/>
        <w:rPr>
          <w:highlight w:val="none"/>
          <w:shd w:fill="EEEEEE" w:val="clear"/>
        </w:rPr>
      </w:pPr>
      <w:r>
        <w:rPr>
          <w:i/>
          <w:shd w:fill="EEEEEE" w:val="clea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Normal"/>
        <w:rPr/>
      </w:pPr>
      <w:r>
        <w:rPr>
          <w:rStyle w:val="Emphasis"/>
          <w:shd w:fill="EEEEEE" w:val="clear"/>
          <w:lang w:val="de-DE"/>
        </w:rPr>
        <w:t xml:space="preserve">Die Beschränkung des Netzwerkverkehrs KANN z. B. durch eine geeignete Segmentierung des Netzwerks (siehe Abschnitt </w:t>
      </w:r>
      <w:r>
        <w:rPr>
          <w:rStyle w:val="Emphasis"/>
          <w:shd w:fill="EEEEEE" w:val="clear"/>
          <w:lang w:val="de-DE"/>
        </w:rPr>
        <w:fldChar w:fldCharType="begin"/>
      </w:r>
      <w:r>
        <w:rPr>
          <w:rStyle w:val="Emphasis"/>
          <w:shd w:fill="EEEEEE" w:val="clear"/>
          <w:lang w:val="de-DE"/>
        </w:rPr>
        <w:instrText xml:space="preserve"> REF segmentierung \n \n \h </w:instrText>
      </w:r>
      <w:r>
        <w:rPr>
          <w:rStyle w:val="Emphasis"/>
          <w:shd w:fill="EEEEEE" w:val="clear"/>
          <w:lang w:val="de-DE"/>
        </w:rPr>
        <w:fldChar w:fldCharType="separate"/>
      </w:r>
      <w:r>
        <w:rPr>
          <w:rStyle w:val="Emphasis"/>
          <w:shd w:fill="EEEEEE" w:val="clear"/>
          <w:lang w:val="de-DE"/>
        </w:rPr>
        <w:t>11.5.3</w:t>
      </w:r>
      <w:r>
        <w:rPr>
          <w:rStyle w:val="Emphasis"/>
          <w:shd w:fill="EEEEEE" w:val="clear"/>
          <w:lang w:val="de-DE"/>
        </w:rPr>
        <w:fldChar w:fldCharType="end"/>
      </w:r>
      <w:r>
        <w:rPr>
          <w:rStyle w:val="Emphasis"/>
          <w:shd w:fill="EEEEEE" w:val="clear"/>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protokollierung"/>
      <w:bookmarkStart w:id="473" w:name="_Toc187327082"/>
      <w:bookmarkStart w:id="474" w:name="_Toc531165057"/>
      <w:bookmarkStart w:id="475" w:name="_Toc178761355"/>
      <w:bookmarkStart w:id="476" w:name="_Ref184204555"/>
      <w:bookmarkStart w:id="477" w:name="_Toc530662922"/>
      <w:bookmarkStart w:id="478" w:name="rl%252525252525252525252525252525252521a"/>
      <w:bookmarkEnd w:id="471"/>
      <w:bookmarkEnd w:id="478"/>
      <w:r>
        <w:rPr>
          <w:lang w:val="de-DE"/>
        </w:rPr>
        <w:t>Protokollierung</w:t>
      </w:r>
      <w:bookmarkEnd w:id="472"/>
      <w:bookmarkEnd w:id="473"/>
      <w:bookmarkEnd w:id="474"/>
      <w:bookmarkEnd w:id="475"/>
      <w:bookmarkEnd w:id="476"/>
      <w:bookmarkEnd w:id="477"/>
    </w:p>
    <w:p>
      <w:pPr>
        <w:pStyle w:val="Normal"/>
        <w:rPr>
          <w:highlight w:val="none"/>
          <w:shd w:fill="EEEEEE" w:val="clear"/>
        </w:rPr>
      </w:pPr>
      <w:r>
        <w:rPr>
          <w:shd w:fill="EEEEEE" w:val="clear"/>
        </w:rPr>
        <w:t>Jedes IT-System MUSS erfolgreiche und erfolglose Anmeldeversuche, Fehler und Informationssicherheitsereignisse protokollieren.</w:t>
      </w:r>
    </w:p>
    <w:p>
      <w:pPr>
        <w:pStyle w:val="Normal"/>
        <w:rPr/>
      </w:pPr>
      <w:r>
        <w:rPr>
          <w:rStyle w:val="Emphasis"/>
          <w:shd w:fill="EEEEEE" w:val="clear"/>
        </w:rPr>
        <w:t>Protokolldaten SOLLTEN zentral gespeichert werden.</w:t>
      </w:r>
    </w:p>
    <w:p>
      <w:pPr>
        <w:pStyle w:val="Normal"/>
        <w:rPr>
          <w:highlight w:val="none"/>
          <w:shd w:fill="EEEEEE" w:val="clear"/>
        </w:rPr>
      </w:pPr>
      <w:r>
        <w:rPr>
          <w:shd w:fill="EEEEEE" w:val="clear"/>
        </w:rPr>
        <w:t>Protokolldaten MÜSSEN 6 Monate lang aufbewahrt werden, sofern dem keine gesetzlichen oder vertraglichen Lösch- oder Aufbewahrungspflichten entgegenstehen.</w:t>
      </w:r>
    </w:p>
    <w:p>
      <w:pPr>
        <w:pStyle w:val="Normal"/>
        <w:rPr>
          <w:highlight w:val="none"/>
          <w:shd w:fill="EEEEEE" w:val="clear"/>
        </w:rPr>
      </w:pPr>
      <w:r>
        <w:rPr>
          <w:shd w:fill="EEEEEE" w:val="clear"/>
          <w:lang w:val="de-DE"/>
        </w:rPr>
        <w:t>Die Uhren aller IT-Systeme MÜSSEN auf eine gemeinsame Zeit synchronisiert sein, um Auswertungen von Protokolldaten zu ermöglichen.</w:t>
      </w:r>
    </w:p>
    <w:p>
      <w:pPr>
        <w:pStyle w:val="Heading3"/>
        <w:ind w:hanging="0" w:left="0"/>
        <w:rPr>
          <w:highlight w:val="none"/>
          <w:shd w:fill="EEEEEE" w:val="clear"/>
        </w:rPr>
      </w:pPr>
      <w:bookmarkStart w:id="479" w:name="__RefHeading___Toc32026_2021121348"/>
      <w:bookmarkStart w:id="480" w:name="_Toc531165058"/>
      <w:bookmarkStart w:id="481" w:name="_Toc530662923"/>
      <w:bookmarkStart w:id="482" w:name="_Toc187327083"/>
      <w:bookmarkStart w:id="483" w:name="_Toc178761356"/>
      <w:bookmarkStart w:id="484" w:name="rl%252525252525252525252525252525252521b"/>
      <w:bookmarkStart w:id="485" w:name="externe_schnittstellen_und_laufwerke"/>
      <w:bookmarkEnd w:id="479"/>
      <w:bookmarkEnd w:id="484"/>
      <w:r>
        <w:rPr>
          <w:shd w:fill="EEEEEE" w:val="clear"/>
          <w:lang w:val="de-DE"/>
        </w:rPr>
        <w:t>Externe Schnittstellen und Laufwerke</w:t>
      </w:r>
      <w:bookmarkEnd w:id="480"/>
      <w:bookmarkEnd w:id="481"/>
      <w:bookmarkEnd w:id="482"/>
      <w:bookmarkEnd w:id="483"/>
      <w:bookmarkEnd w:id="485"/>
    </w:p>
    <w:p>
      <w:pPr>
        <w:pStyle w:val="Normal"/>
        <w:rPr/>
      </w:pPr>
      <w:r>
        <w:rPr>
          <w:rStyle w:val="Emphasis"/>
          <w:shd w:fill="EEEEEE" w:val="clear"/>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highlight w:val="none"/>
          <w:shd w:fill="EEEEEE" w:val="clear"/>
        </w:rPr>
      </w:pPr>
      <w:bookmarkStart w:id="486" w:name="__RefHeading___schadsoftware_57"/>
      <w:bookmarkStart w:id="487" w:name="_Toc530662924"/>
      <w:bookmarkStart w:id="488" w:name="_Toc178761357"/>
      <w:bookmarkStart w:id="489" w:name="rl%252525252525252525252525252525252521c"/>
      <w:bookmarkStart w:id="490" w:name="_Ref184811333"/>
      <w:bookmarkStart w:id="491" w:name="_Toc187327084"/>
      <w:bookmarkStart w:id="492" w:name="schadsoftware"/>
      <w:bookmarkStart w:id="493" w:name="_Toc531165059"/>
      <w:bookmarkEnd w:id="486"/>
      <w:bookmarkEnd w:id="489"/>
      <w:r>
        <w:rPr>
          <w:shd w:fill="EEEEEE" w:val="clear"/>
          <w:lang w:val="de-DE"/>
        </w:rPr>
        <w:t>Schadsoftware</w:t>
      </w:r>
      <w:bookmarkEnd w:id="487"/>
      <w:bookmarkEnd w:id="488"/>
      <w:bookmarkEnd w:id="490"/>
      <w:bookmarkEnd w:id="491"/>
      <w:bookmarkEnd w:id="492"/>
      <w:bookmarkEnd w:id="493"/>
    </w:p>
    <w:p>
      <w:pPr>
        <w:pStyle w:val="Normal"/>
        <w:rPr>
          <w:highlight w:val="none"/>
          <w:shd w:fill="EEEEEE" w:val="clear"/>
        </w:rPr>
      </w:pPr>
      <w:r>
        <w:rPr>
          <w:shd w:fill="EEEEEE" w:val="clear"/>
        </w:rPr>
        <w:t>Jedes IT-System MUSS über einen Echtzeitschutz vor Schadsoftware verfügen, der alle Dateien bei Zugriff entsprechend prüft (musterbasierte Erkennung).</w:t>
      </w:r>
    </w:p>
    <w:p>
      <w:pPr>
        <w:pStyle w:val="Normal"/>
        <w:rPr/>
      </w:pPr>
      <w:r>
        <w:rPr>
          <w:i/>
          <w:iCs/>
          <w:shd w:fill="EEEEEE" w:val="clear"/>
        </w:rPr>
        <w:t xml:space="preserve">Zusätzlich SOLLTE das Verhalten ausgeführter Programme überwacht werden, um schädliche Software </w:t>
      </w:r>
      <w:r>
        <w:rPr>
          <w:rStyle w:val="Emphasis"/>
          <w:shd w:fill="EEEEEE" w:val="clear"/>
        </w:rPr>
        <w:t>zu erkennen</w:t>
      </w:r>
      <w:r>
        <w:rPr>
          <w:i/>
          <w:iCs/>
          <w:shd w:fill="EEEEEE" w:val="clear"/>
        </w:rPr>
        <w:t>.</w:t>
      </w:r>
    </w:p>
    <w:p>
      <w:pPr>
        <w:pStyle w:val="Normal"/>
        <w:rPr>
          <w:highlight w:val="none"/>
          <w:shd w:fill="EEEEEE" w:val="clear"/>
        </w:rPr>
      </w:pPr>
      <w:r>
        <w:rPr>
          <w:shd w:fill="EEEEEE" w:val="clear"/>
        </w:rPr>
        <w:t>Das Ausführen erkannter Schadsoftware MUSS verhindert werden.</w:t>
      </w:r>
    </w:p>
    <w:p>
      <w:pPr>
        <w:pStyle w:val="Normal"/>
        <w:rPr>
          <w:highlight w:val="none"/>
          <w:shd w:fill="EEEEEE" w:val="clear"/>
        </w:rPr>
      </w:pPr>
      <w:bookmarkStart w:id="494" w:name="__RefHeading___starten_von_fremden_medie"/>
      <w:bookmarkEnd w:id="494"/>
      <w:r>
        <w:rPr>
          <w:shd w:fill="EEEEEE" w:val="clea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highlight w:val="none"/>
          <w:shd w:fill="EEEEEE" w:val="clear"/>
        </w:rPr>
      </w:pPr>
      <w:bookmarkStart w:id="495" w:name="__RefHeading___Toc32028_2021121348"/>
      <w:bookmarkStart w:id="496" w:name="_Toc531165060"/>
      <w:bookmarkStart w:id="497" w:name="rl%252525252525252525252525252525252521d"/>
      <w:bookmarkStart w:id="498" w:name="starten_von_fremden_medien"/>
      <w:bookmarkStart w:id="499" w:name="_Toc530662925"/>
      <w:bookmarkStart w:id="500" w:name="_Toc178761358"/>
      <w:bookmarkStart w:id="501" w:name="_Toc187327085"/>
      <w:bookmarkEnd w:id="495"/>
      <w:bookmarkEnd w:id="497"/>
      <w:r>
        <w:rPr>
          <w:shd w:fill="EEEEEE" w:val="clear"/>
          <w:lang w:val="de-DE"/>
        </w:rPr>
        <w:t>Starten von fremden Medien</w:t>
      </w:r>
      <w:bookmarkEnd w:id="496"/>
      <w:bookmarkEnd w:id="498"/>
      <w:bookmarkEnd w:id="499"/>
      <w:bookmarkEnd w:id="500"/>
      <w:bookmarkEnd w:id="501"/>
    </w:p>
    <w:p>
      <w:pPr>
        <w:pStyle w:val="Normal"/>
        <w:rPr>
          <w:highlight w:val="none"/>
          <w:shd w:fill="EEEEEE" w:val="clear"/>
        </w:rPr>
      </w:pPr>
      <w:r>
        <w:rPr>
          <w:shd w:fill="EEEEEE" w:val="clear"/>
        </w:rPr>
        <w:t>Es MUSS sichergestellt werden, dass IT-Systeme nur von autorisierten Medien gestartet werden können.</w:t>
      </w:r>
    </w:p>
    <w:p>
      <w:pPr>
        <w:pStyle w:val="Normal"/>
        <w:rPr/>
      </w:pPr>
      <w:r>
        <w:rPr>
          <w:rStyle w:val="Emphasis"/>
          <w:spacing w:val="-2"/>
          <w:shd w:fill="EEEEEE" w:val="clear"/>
          <w:lang w:val="de-DE"/>
        </w:rPr>
        <w:t>Dies KANN z. B. über BIOS-Passwörter oder über einen Zutrittsschutz umgesetzt werden.</w:t>
      </w:r>
    </w:p>
    <w:p>
      <w:pPr>
        <w:pStyle w:val="Heading3"/>
        <w:ind w:hanging="0" w:left="0"/>
        <w:rPr>
          <w:highlight w:val="none"/>
          <w:shd w:fill="EEEEEE" w:val="clear"/>
        </w:rPr>
      </w:pPr>
      <w:bookmarkStart w:id="502" w:name="__RefHeading___authentifizierung_59"/>
      <w:bookmarkStart w:id="503" w:name="rl%252525252525252525252525252525252521e"/>
      <w:bookmarkStart w:id="504" w:name="_Toc187327086"/>
      <w:bookmarkStart w:id="505" w:name="_Toc530662926"/>
      <w:bookmarkStart w:id="506" w:name="authentifizierung"/>
      <w:bookmarkStart w:id="507" w:name="_Toc531165061"/>
      <w:bookmarkStart w:id="508" w:name="_Toc178761359"/>
      <w:bookmarkEnd w:id="502"/>
      <w:bookmarkEnd w:id="503"/>
      <w:r>
        <w:rPr>
          <w:shd w:fill="EEEEEE" w:val="clear"/>
          <w:lang w:val="de-DE"/>
        </w:rPr>
        <w:t>Authentifizierung</w:t>
      </w:r>
      <w:bookmarkEnd w:id="504"/>
      <w:bookmarkEnd w:id="505"/>
      <w:bookmarkEnd w:id="506"/>
      <w:bookmarkEnd w:id="507"/>
      <w:bookmarkEnd w:id="508"/>
    </w:p>
    <w:p>
      <w:pPr>
        <w:pStyle w:val="Normal"/>
        <w:rPr>
          <w:highlight w:val="none"/>
          <w:shd w:fill="EEEEEE" w:val="clear"/>
        </w:rPr>
      </w:pPr>
      <w:r>
        <w:rPr>
          <w:shd w:fill="EEEEEE" w:val="clear"/>
        </w:rPr>
        <w:t>Der Zugang zu allen nichtöffentlichen Bereichen der IT-Systeme MUSS durch geeignete Anmeldeverfahren abgesichert werden, die eine Authentifizierung verlangen.</w:t>
      </w:r>
    </w:p>
    <w:p>
      <w:pPr>
        <w:pStyle w:val="Normal"/>
        <w:rPr>
          <w:highlight w:val="none"/>
          <w:shd w:fill="EEEEEE" w:val="clear"/>
        </w:rPr>
      </w:pPr>
      <w:r>
        <w:rPr>
          <w:shd w:fill="EEEEEE" w:val="clear"/>
        </w:rPr>
        <w:t>Die Anmeldeverfahren MÜSSEN folgende Punkte sicherstellen:</w:t>
      </w:r>
    </w:p>
    <w:p>
      <w:pPr>
        <w:pStyle w:val="Liste1"/>
        <w:numPr>
          <w:ilvl w:val="0"/>
          <w:numId w:val="354"/>
        </w:numPr>
        <w:spacing w:lineRule="auto" w:line="250"/>
        <w:rPr>
          <w:highlight w:val="none"/>
          <w:shd w:fill="EEEEEE" w:val="clear"/>
        </w:rPr>
      </w:pPr>
      <w:r>
        <w:rPr>
          <w:shd w:fill="EEEEEE" w:val="clear"/>
        </w:rPr>
        <w:t>Das systematische Ausprobieren von Anmeldeinformationen wird erschwert.</w:t>
      </w:r>
    </w:p>
    <w:p>
      <w:pPr>
        <w:pStyle w:val="Liste1"/>
        <w:numPr>
          <w:ilvl w:val="0"/>
          <w:numId w:val="355"/>
        </w:numPr>
        <w:spacing w:lineRule="auto" w:line="250"/>
        <w:rPr>
          <w:highlight w:val="none"/>
          <w:shd w:fill="EEEEEE" w:val="clear"/>
        </w:rPr>
      </w:pPr>
      <w:r>
        <w:rPr>
          <w:shd w:fill="EEEEEE" w:val="clear"/>
        </w:rPr>
        <w:t>Interaktive Sitzungen werden beendet oder gesperrt, wenn der Nutzer innerhalb einer vorgegebenen Zeitspanne keine Eingaben tätigt.</w:t>
      </w:r>
    </w:p>
    <w:p>
      <w:pPr>
        <w:pStyle w:val="Liste1"/>
        <w:numPr>
          <w:ilvl w:val="0"/>
          <w:numId w:val="356"/>
        </w:numPr>
        <w:spacing w:lineRule="auto" w:line="250"/>
        <w:rPr>
          <w:highlight w:val="none"/>
          <w:shd w:fill="EEEEEE" w:val="clear"/>
        </w:rPr>
      </w:pPr>
      <w:r>
        <w:rPr>
          <w:shd w:fill="EEEEEE" w:val="clear"/>
        </w:rPr>
        <w:t>Erfolgt die Anmeldung über ein Netzwerk, so wird die Vertraulichkeit und Integrität der Anmeldeinformationen (z. B. mit Hilfe entsprechender Authentifizierungsprotokolle) sichergestellt.</w:t>
      </w:r>
    </w:p>
    <w:p>
      <w:pPr>
        <w:pStyle w:val="Normal"/>
        <w:rPr>
          <w:highlight w:val="none"/>
          <w:shd w:fill="EEEEEE" w:val="clear"/>
        </w:rPr>
      </w:pPr>
      <w:r>
        <w:rPr>
          <w:shd w:fill="EEEEEE" w:val="clear"/>
          <w:lang w:val="de-DE"/>
        </w:rPr>
        <w:t>Damit die Anmeldeverfahren zuverlässig arbeiten können, MÜSSEN folgende Punkte sichergestellt werden:</w:t>
      </w:r>
    </w:p>
    <w:p>
      <w:pPr>
        <w:pStyle w:val="Liste1"/>
        <w:numPr>
          <w:ilvl w:val="0"/>
          <w:numId w:val="357"/>
        </w:numPr>
        <w:spacing w:lineRule="auto" w:line="250"/>
        <w:rPr/>
      </w:pPr>
      <w:r>
        <w:rPr>
          <w:shd w:fill="EEEEEE" w:val="clear"/>
          <w:lang w:val="de-DE"/>
        </w:rPr>
        <w:t xml:space="preserve">Zugänge werden strukturiert verwaltet (siehe </w:t>
      </w:r>
      <w:r>
        <w:rPr>
          <w:rStyle w:val="Hyperlink"/>
          <w:color w:val="000000"/>
          <w:u w:val="none"/>
          <w:shd w:fill="EEEEEE" w:val="clear"/>
          <w:lang w:val="de-DE"/>
        </w:rPr>
        <w:t xml:space="preserve">Kapitel </w:t>
      </w:r>
      <w:r>
        <w:rPr>
          <w:shd w:fill="EEEEEE" w:val="clear"/>
          <w:lang w:val="de-DE"/>
        </w:rPr>
        <w:fldChar w:fldCharType="begin"/>
      </w:r>
      <w:r>
        <w:rPr>
          <w:shd w:fill="EEEEEE" w:val="clear"/>
          <w:lang w:val="de-DE"/>
        </w:rPr>
        <w:instrText xml:space="preserve"> REF _Ref179186593 \n \n \h </w:instrText>
      </w:r>
      <w:r>
        <w:rPr>
          <w:shd w:fill="EEEEEE" w:val="clear"/>
          <w:lang w:val="de-DE"/>
        </w:rPr>
        <w:fldChar w:fldCharType="separate"/>
      </w:r>
      <w:r>
        <w:rPr>
          <w:shd w:fill="EEEEEE" w:val="clear"/>
          <w:lang w:val="de-DE"/>
        </w:rPr>
        <w:t>15</w:t>
      </w:r>
      <w:r>
        <w:rPr>
          <w:shd w:fill="EEEEEE" w:val="clear"/>
          <w:lang w:val="de-DE"/>
        </w:rPr>
        <w:fldChar w:fldCharType="end"/>
      </w:r>
      <w:r>
        <w:rPr>
          <w:shd w:fill="EEEEEE" w:val="clear"/>
          <w:lang w:val="de-DE"/>
        </w:rPr>
        <w:t>).</w:t>
      </w:r>
    </w:p>
    <w:p>
      <w:pPr>
        <w:pStyle w:val="Normal"/>
        <w:numPr>
          <w:ilvl w:val="0"/>
          <w:numId w:val="358"/>
        </w:numPr>
        <w:rPr>
          <w:lang w:val="de-DE"/>
        </w:rPr>
      </w:pPr>
      <w:r>
        <w:rPr>
          <w:lang w:val="de-DE"/>
        </w:rPr>
        <w:t>Es werden ausschließlich zuverlässige Authentifizierungsmechanismen wie z. B. Mehr-Faktor-Authentifizierungen oder kontinuierliche Authentifizierungen verwendet.</w:t>
      </w:r>
    </w:p>
    <w:p>
      <w:pPr>
        <w:pStyle w:val="Liste1"/>
        <w:numPr>
          <w:ilvl w:val="0"/>
          <w:numId w:val="359"/>
        </w:numPr>
        <w:spacing w:lineRule="auto" w:line="250"/>
        <w:rPr>
          <w:highlight w:val="none"/>
          <w:shd w:fill="EEEEEE" w:val="clear"/>
        </w:rPr>
      </w:pPr>
      <w:r>
        <w:rPr>
          <w:shd w:fill="EEEEEE" w:val="clea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2"/>
      </w:r>
      <w:bookmarkStart w:id="509" w:name="zugaenge_und_zugriffe_del_zugriffsbeschr"/>
    </w:p>
    <w:p>
      <w:pPr>
        <w:pStyle w:val="Heading3"/>
        <w:ind w:hanging="0" w:left="0"/>
        <w:rPr>
          <w:highlight w:val="none"/>
          <w:shd w:fill="EEEEEE" w:val="clear"/>
        </w:rPr>
      </w:pPr>
      <w:bookmarkStart w:id="510" w:name="__RefHeading___Toc32030_2021121348"/>
      <w:bookmarkStart w:id="511" w:name="_Toc530662927"/>
      <w:bookmarkStart w:id="512" w:name="_Toc531165062"/>
      <w:bookmarkStart w:id="513" w:name="_Toc178761360"/>
      <w:bookmarkStart w:id="514" w:name="_Toc187327087"/>
      <w:bookmarkStart w:id="515" w:name="_Ref184204568"/>
      <w:bookmarkEnd w:id="510"/>
      <w:r>
        <w:rPr>
          <w:shd w:fill="EEEEEE" w:val="clear"/>
          <w:lang w:val="de-DE"/>
        </w:rPr>
        <w:t>Zugänge und Zugriffe</w:t>
      </w:r>
      <w:bookmarkEnd w:id="509"/>
      <w:bookmarkEnd w:id="511"/>
      <w:bookmarkEnd w:id="512"/>
      <w:bookmarkEnd w:id="513"/>
      <w:bookmarkEnd w:id="514"/>
      <w:bookmarkEnd w:id="515"/>
    </w:p>
    <w:p>
      <w:pPr>
        <w:pStyle w:val="Normal"/>
        <w:rPr>
          <w:highlight w:val="none"/>
          <w:shd w:fill="EEEEEE" w:val="clear"/>
        </w:rPr>
      </w:pPr>
      <w:r>
        <w:rPr>
          <w:shd w:fill="EEEEEE" w:val="clear"/>
        </w:rPr>
        <w:t>Administrative Tätigkeiten MÜSSEN über die speziell dafür vorgesehenen Zugänge erfolgen.</w:t>
      </w:r>
    </w:p>
    <w:p>
      <w:pPr>
        <w:pStyle w:val="Normal"/>
        <w:jc w:val="left"/>
        <w:rPr>
          <w:highlight w:val="none"/>
          <w:shd w:fill="EEEEEE" w:val="clear"/>
        </w:rPr>
      </w:pPr>
      <w:r>
        <w:rPr>
          <w:shd w:fill="EEEEEE" w:val="clear"/>
        </w:rPr>
        <w:t>Diese DÜRFEN NICHT für die alltägliche Nutzung der IT-Systeme verwendet werden.</w:t>
      </w:r>
    </w:p>
    <w:p>
      <w:pPr>
        <w:pStyle w:val="Normal"/>
        <w:rPr/>
      </w:pPr>
      <w:r>
        <w:rPr>
          <w:rStyle w:val="Emphasis"/>
          <w:shd w:fill="EEEEEE" w:val="clear"/>
        </w:rPr>
        <w:t>Darüber hinaus SOLLTEN folgende Anforderungen erfüllt werden:</w:t>
      </w:r>
    </w:p>
    <w:p>
      <w:pPr>
        <w:pStyle w:val="Liste1"/>
        <w:numPr>
          <w:ilvl w:val="0"/>
          <w:numId w:val="360"/>
        </w:numPr>
        <w:spacing w:lineRule="auto" w:line="250"/>
        <w:rPr/>
      </w:pPr>
      <w:r>
        <w:rPr>
          <w:rStyle w:val="Emphasis"/>
          <w:shd w:fill="EEEEEE" w:val="clear"/>
        </w:rPr>
        <w:t>Nutzer können nur auf Informationen lesend zugreifen, wenn dies für die Erfüllung ihrer Aufgaben notwendig ist („Need-to-Know“).</w:t>
      </w:r>
    </w:p>
    <w:p>
      <w:pPr>
        <w:pStyle w:val="Liste1"/>
        <w:numPr>
          <w:ilvl w:val="0"/>
          <w:numId w:val="361"/>
        </w:numPr>
        <w:spacing w:lineRule="auto" w:line="250"/>
        <w:rPr/>
      </w:pPr>
      <w:r>
        <w:rPr>
          <w:rStyle w:val="Emphasis"/>
          <w:shd w:fill="EEEEEE" w:val="clear"/>
        </w:rPr>
        <w:t>Nutzer können nur auf Informationen schreibend zugreifen, wenn dies für die Erfüllung ihrer Aufgaben notwendig ist („Least-Privileges“).</w:t>
      </w:r>
    </w:p>
    <w:p>
      <w:pPr>
        <w:pStyle w:val="Liste1"/>
        <w:numPr>
          <w:ilvl w:val="0"/>
          <w:numId w:val="362"/>
        </w:numPr>
        <w:spacing w:lineRule="auto" w:line="250"/>
        <w:rPr>
          <w:highlight w:val="none"/>
          <w:shd w:fill="EEEEEE" w:val="clear"/>
        </w:rPr>
      </w:pPr>
      <w:r>
        <w:rPr>
          <w:i/>
          <w:shd w:fill="EEEEEE" w:val="clea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_Toc178761361"/>
      <w:bookmarkStart w:id="518" w:name="_Toc178588085"/>
      <w:bookmarkStart w:id="519" w:name="_Toc530662928"/>
      <w:bookmarkStart w:id="520" w:name="zusaetzliche_massnahmen_fuer_mobile_it-s"/>
      <w:bookmarkStart w:id="521" w:name="_Ref184300120"/>
      <w:bookmarkStart w:id="522" w:name="_Ref184300103"/>
      <w:bookmarkStart w:id="523" w:name="_Toc187327088"/>
      <w:bookmarkStart w:id="524" w:name="rl%252525252525252525252525252525252521f"/>
      <w:bookmarkStart w:id="525" w:name="_Ref184300115"/>
      <w:bookmarkStart w:id="526" w:name="_Ref184300124"/>
      <w:bookmarkStart w:id="527" w:name="_Ref184300091"/>
      <w:bookmarkStart w:id="528" w:name="_Toc531165063"/>
      <w:bookmarkEnd w:id="516"/>
      <w:bookmarkEnd w:id="524"/>
      <w:r>
        <w:rPr>
          <w:lang w:val="de-DE"/>
        </w:rPr>
        <w:t>Zusätzliche Maßnahmen für mobile IT-Systeme</w:t>
      </w:r>
      <w:bookmarkEnd w:id="517"/>
      <w:bookmarkEnd w:id="518"/>
      <w:bookmarkEnd w:id="519"/>
      <w:bookmarkEnd w:id="520"/>
      <w:bookmarkEnd w:id="521"/>
      <w:bookmarkEnd w:id="522"/>
      <w:bookmarkEnd w:id="523"/>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highlight w:val="none"/>
          <w:shd w:fill="EEEEEE" w:val="clear"/>
        </w:rPr>
      </w:pPr>
      <w:r>
        <w:rPr>
          <w:shd w:fill="EEEEEE" w:val="clear"/>
          <w:lang w:val="de-DE"/>
        </w:rPr>
        <w:t>Mobile IT-Systeme sind in besonderer Weise Gefährdungen durch Diebstahl, unautorisiertem Zutritt oder unsichere Netze ausgesetzt, die zusätzliche Maßnahmen erforderlich machen.</w:t>
      </w:r>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für alle mobilen IT-Systeme umgesetzt werden.</w:t>
      </w:r>
      <w:r>
        <w:rPr>
          <w:rStyle w:val="Style"/>
          <w:shd w:fill="EEEEEE" w:val="clear"/>
          <w:lang w:val="de-DE"/>
        </w:rPr>
        <w:fldChar w:fldCharType="end"/>
      </w:r>
    </w:p>
    <w:p>
      <w:pPr>
        <w:pStyle w:val="Heading3"/>
        <w:ind w:hanging="0" w:left="0"/>
        <w:rPr>
          <w:highlight w:val="none"/>
          <w:shd w:fill="EEEEEE" w:val="clear"/>
        </w:rPr>
      </w:pPr>
      <w:bookmarkStart w:id="531" w:name="__RefHeading___is-richtlinie_62"/>
      <w:bookmarkStart w:id="532" w:name="rl%252525252525252525252525252525252521g"/>
      <w:bookmarkStart w:id="533" w:name="_Toc530662929"/>
      <w:bookmarkStart w:id="534" w:name="_Toc531165064"/>
      <w:bookmarkStart w:id="535" w:name="_Toc178761362"/>
      <w:bookmarkStart w:id="536" w:name="_Toc187327090"/>
      <w:bookmarkStart w:id="537" w:name="is-richtlinie"/>
      <w:bookmarkEnd w:id="531"/>
      <w:bookmarkEnd w:id="532"/>
      <w:r>
        <w:rPr>
          <w:shd w:fill="EEEEEE" w:val="clear"/>
          <w:lang w:val="de-DE"/>
        </w:rPr>
        <w:t>IS-Richtlinie</w:t>
      </w:r>
      <w:bookmarkEnd w:id="533"/>
      <w:bookmarkEnd w:id="534"/>
      <w:bookmarkEnd w:id="535"/>
      <w:bookmarkEnd w:id="536"/>
      <w:bookmarkEnd w:id="537"/>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_Ref179186674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IT-Systemen getroffen werden:</w:t>
      </w:r>
    </w:p>
    <w:p>
      <w:pPr>
        <w:pStyle w:val="Liste1"/>
        <w:numPr>
          <w:ilvl w:val="0"/>
          <w:numId w:val="363"/>
        </w:numPr>
        <w:spacing w:lineRule="auto" w:line="250"/>
        <w:rPr>
          <w:highlight w:val="none"/>
          <w:shd w:fill="EEEEEE" w:val="clear"/>
        </w:rPr>
      </w:pPr>
      <w:r>
        <w:rPr>
          <w:shd w:fill="EEEEEE" w:val="clear"/>
        </w:rPr>
        <w:t>Es wird festgelegt, welche Informationen auf den mobilen IT-Systemen erhoben, verarbeitet, gespeichert und übertragen werden dürfen.</w:t>
      </w:r>
    </w:p>
    <w:p>
      <w:pPr>
        <w:pStyle w:val="Liste1"/>
        <w:numPr>
          <w:ilvl w:val="0"/>
          <w:numId w:val="364"/>
        </w:numPr>
        <w:spacing w:lineRule="auto" w:line="250"/>
        <w:rPr>
          <w:highlight w:val="none"/>
          <w:shd w:fill="EEEEEE" w:val="clear"/>
        </w:rPr>
      </w:pPr>
      <w:r>
        <w:rPr>
          <w:shd w:fill="EEEEEE" w:val="clear"/>
        </w:rPr>
        <w:t>Die Verantwortung für die Datensicherung wird definiert.</w:t>
      </w:r>
    </w:p>
    <w:p>
      <w:pPr>
        <w:pStyle w:val="Liste1"/>
        <w:numPr>
          <w:ilvl w:val="0"/>
          <w:numId w:val="365"/>
        </w:numPr>
        <w:spacing w:lineRule="auto" w:line="250"/>
        <w:rPr>
          <w:highlight w:val="none"/>
          <w:shd w:fill="EEEEEE" w:val="clear"/>
        </w:rPr>
      </w:pPr>
      <w:r>
        <w:rPr>
          <w:shd w:fill="EEEEEE" w:val="clear"/>
        </w:rPr>
        <w:t>Die Nutzer werden über die spezifischen Risiken mobiler IT-Systeme (z. B. Gefahren durch Ausspähung bei der Nutzung in der Öffentlichkeit, Verlust oder Diebstahl) informiert und zur Ergreifung entsprechender Gegenmaßnahmen verpflichtet.</w:t>
      </w:r>
    </w:p>
    <w:p>
      <w:pPr>
        <w:pStyle w:val="Liste1"/>
        <w:numPr>
          <w:ilvl w:val="0"/>
          <w:numId w:val="366"/>
        </w:numPr>
        <w:spacing w:lineRule="auto" w:line="250"/>
        <w:rPr>
          <w:highlight w:val="none"/>
          <w:shd w:fill="EEEEEE" w:val="clear"/>
        </w:rPr>
      </w:pPr>
      <w:r>
        <w:rPr>
          <w:shd w:fill="EEEEEE" w:val="clear"/>
        </w:rPr>
        <w:t>Es wird untersagt, mobile IT-Systeme an unberechtigte Dritte weiterzugeben.</w:t>
      </w:r>
    </w:p>
    <w:p>
      <w:pPr>
        <w:pStyle w:val="Liste1"/>
        <w:numPr>
          <w:ilvl w:val="0"/>
          <w:numId w:val="367"/>
        </w:numPr>
        <w:spacing w:lineRule="auto" w:line="250"/>
        <w:rPr>
          <w:highlight w:val="none"/>
          <w:shd w:fill="EEEEEE" w:val="clear"/>
        </w:rPr>
      </w:pPr>
      <w:r>
        <w:rPr>
          <w:shd w:fill="EEEEEE" w:val="clear"/>
        </w:rPr>
        <w:t>Es wird definiert, ob und welche Software auf den mobilen IT-Systemen von den Nutzern installiert werden darf.</w:t>
      </w:r>
    </w:p>
    <w:p>
      <w:pPr>
        <w:pStyle w:val="Liste1"/>
        <w:numPr>
          <w:ilvl w:val="0"/>
          <w:numId w:val="368"/>
        </w:numPr>
        <w:spacing w:lineRule="auto" w:line="250"/>
        <w:rPr>
          <w:highlight w:val="none"/>
          <w:shd w:fill="EEEEEE" w:val="clear"/>
        </w:rPr>
      </w:pPr>
      <w:r>
        <w:rPr>
          <w:shd w:fill="EEEEEE" w:val="clear"/>
        </w:rPr>
        <w:t>Es wird definiert, ob und unter welchen Bedingungen ein Administrator das mobile IT-System orten darf.</w:t>
      </w:r>
    </w:p>
    <w:p>
      <w:pPr>
        <w:pStyle w:val="Liste1"/>
        <w:numPr>
          <w:ilvl w:val="0"/>
          <w:numId w:val="369"/>
        </w:numPr>
        <w:spacing w:lineRule="auto" w:line="250"/>
        <w:rPr>
          <w:highlight w:val="none"/>
          <w:shd w:fill="EEEEEE" w:val="clear"/>
        </w:rPr>
      </w:pPr>
      <w:r>
        <w:rPr>
          <w:shd w:fill="EEEEEE" w:val="clear"/>
          <w:lang w:val="de-DE"/>
        </w:rPr>
        <w:t>Es wird definiert, ob und unter welchen Bedingungen ein Administrator die auf einem mobilen IT-System gespeicherten Informationen aus der Ferne löschen darf.</w:t>
      </w:r>
    </w:p>
    <w:p>
      <w:pPr>
        <w:pStyle w:val="Heading3"/>
        <w:ind w:hanging="0" w:left="0"/>
        <w:rPr>
          <w:highlight w:val="none"/>
          <w:shd w:fill="EEEEEE" w:val="clear"/>
        </w:rPr>
      </w:pPr>
      <w:bookmarkStart w:id="538" w:name="__RefHeading___schutz_der_informationen_"/>
      <w:bookmarkStart w:id="539" w:name="schutz_der_informationen"/>
      <w:bookmarkStart w:id="540" w:name="_Toc531165065"/>
      <w:bookmarkStart w:id="541" w:name="rl%252525252525252525252525252525252521h"/>
      <w:bookmarkStart w:id="542" w:name="_Toc178761363"/>
      <w:bookmarkStart w:id="543" w:name="_Toc530662930"/>
      <w:bookmarkStart w:id="544" w:name="_Toc187327091"/>
      <w:bookmarkEnd w:id="538"/>
      <w:bookmarkEnd w:id="541"/>
      <w:r>
        <w:rPr>
          <w:shd w:fill="EEEEEE" w:val="clear"/>
          <w:lang w:val="de-DE"/>
        </w:rPr>
        <w:t>Schutz der Informationen</w:t>
      </w:r>
      <w:bookmarkEnd w:id="539"/>
      <w:bookmarkEnd w:id="540"/>
      <w:bookmarkEnd w:id="542"/>
      <w:bookmarkEnd w:id="543"/>
      <w:bookmarkEnd w:id="544"/>
    </w:p>
    <w:p>
      <w:pPr>
        <w:pStyle w:val="10000-DefaultParagraph"/>
        <w:rPr>
          <w:highlight w:val="none"/>
          <w:shd w:fill="EEEEEE" w:val="clear"/>
        </w:rPr>
      </w:pPr>
      <w:r>
        <w:rPr>
          <w:shd w:fill="EEEEEE" w:val="clea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highlight w:val="none"/>
          <w:shd w:fill="EEEEEE" w:val="clear"/>
        </w:rPr>
      </w:pPr>
      <w:bookmarkStart w:id="545" w:name="__RefHeading___verlust_64"/>
      <w:bookmarkStart w:id="546" w:name="verlust"/>
      <w:bookmarkStart w:id="547" w:name="_Toc530662931"/>
      <w:bookmarkStart w:id="548" w:name="_Toc178761364"/>
      <w:bookmarkStart w:id="549" w:name="_Toc531165066"/>
      <w:bookmarkStart w:id="550" w:name="_Toc187327092"/>
      <w:bookmarkStart w:id="551" w:name="rl%252525252525252525252525252525252521i"/>
      <w:bookmarkEnd w:id="545"/>
      <w:bookmarkEnd w:id="551"/>
      <w:r>
        <w:rPr>
          <w:shd w:fill="EEEEEE" w:val="clear"/>
          <w:lang w:val="de-DE"/>
        </w:rPr>
        <w:t>Verlust</w:t>
      </w:r>
      <w:bookmarkEnd w:id="546"/>
      <w:bookmarkEnd w:id="547"/>
      <w:bookmarkEnd w:id="548"/>
      <w:bookmarkEnd w:id="549"/>
      <w:bookmarkEnd w:id="550"/>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_Ref179186850 \n \n \h </w:instrText>
      </w:r>
      <w:r>
        <w:rPr>
          <w:shd w:fill="EEEEEE" w:val="clear"/>
        </w:rPr>
        <w:fldChar w:fldCharType="separate"/>
      </w:r>
      <w:r>
        <w:rPr>
          <w:shd w:fill="EEEEEE" w:val="clear"/>
        </w:rPr>
        <w:t>A.1</w:t>
      </w:r>
      <w:r>
        <w:rPr>
          <w:shd w:fill="EEEEEE" w:val="clear"/>
        </w:rPr>
        <w:fldChar w:fldCharType="end"/>
      </w:r>
      <w:r>
        <w:rPr>
          <w:shd w:fill="EEEEEE" w:val="clear"/>
        </w:rPr>
        <w:t>) implementiert werden, die festlegen, wie Nutzer und Administratoren bei Verlust eines mobilen IT-Systems vorzugehen haben.</w:t>
      </w:r>
    </w:p>
    <w:p>
      <w:pPr>
        <w:pStyle w:val="Normal"/>
        <w:rPr>
          <w:highlight w:val="none"/>
          <w:shd w:fill="EEEEEE" w:val="clear"/>
        </w:rPr>
      </w:pPr>
      <w:r>
        <w:rPr>
          <w:shd w:fill="EEEEEE" w:val="clear"/>
        </w:rPr>
        <w:t>Die Verfahren MÜSSEN insbesondere festlegen, wie und an wen der Verlust zu melden ist und welche Sofortreaktion zu erfolgen hat.</w:t>
      </w:r>
    </w:p>
    <w:p>
      <w:pPr>
        <w:pStyle w:val="Normal"/>
        <w:rPr>
          <w:highlight w:val="none"/>
          <w:shd w:fill="EEEEEE" w:val="clear"/>
        </w:rPr>
      </w:pPr>
      <w:r>
        <w:rPr>
          <w:shd w:fill="EEEEEE" w:val="clea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Normal"/>
        <w:rPr>
          <w:highlight w:val="none"/>
          <w:shd w:fill="EEEEEE" w:val="clear"/>
        </w:rPr>
      </w:pPr>
      <w:r>
        <w:rPr>
          <w:shd w:fill="EEEEEE" w:val="clear"/>
          <w:lang w:val="de-DE"/>
        </w:rPr>
        <w:t xml:space="preserve">Der Verlust eines mobilen IT-Systems MUSS als Sicherheitsvorfall (siehe Kapitel </w:t>
      </w:r>
      <w:r>
        <w:rPr>
          <w:shd w:fill="EEEEEE" w:val="clear"/>
          <w:lang w:val="de-DE"/>
        </w:rPr>
        <w:fldChar w:fldCharType="begin"/>
      </w:r>
      <w:r>
        <w:rPr>
          <w:shd w:fill="EEEEEE" w:val="clear"/>
          <w:lang w:val="de-DE"/>
        </w:rPr>
        <w:instrText xml:space="preserve"> REF _Ref179186901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_Ref184204582"/>
      <w:bookmarkStart w:id="555" w:name="_Toc187327100"/>
      <w:bookmarkStart w:id="556" w:name="_Toc530662938"/>
      <w:bookmarkStart w:id="557" w:name="_Toc178761371"/>
      <w:bookmarkStart w:id="558" w:name="_Toc531165073"/>
      <w:bookmarkStart w:id="559" w:name="dokumentation"/>
      <w:bookmarkStart w:id="560" w:name="rl%252525252525252525252525252525252521j"/>
      <w:bookmarkEnd w:id="553"/>
      <w:bookmarkEnd w:id="560"/>
      <w:r>
        <w:rPr>
          <w:lang w:val="de-DE"/>
        </w:rPr>
        <w:t>Dokumentation</w:t>
      </w:r>
      <w:bookmarkEnd w:id="554"/>
      <w:bookmarkEnd w:id="555"/>
      <w:bookmarkEnd w:id="556"/>
      <w:bookmarkEnd w:id="557"/>
      <w:bookmarkEnd w:id="558"/>
      <w:bookmarkEnd w:id="559"/>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70"/>
        </w:numPr>
        <w:rPr>
          <w:lang w:val="de-DE"/>
        </w:rPr>
      </w:pPr>
      <w:r>
        <w:rPr>
          <w:lang w:val="de-DE"/>
        </w:rPr>
        <w:t>Wer ist für das IT-System verantwortlich?</w:t>
      </w:r>
    </w:p>
    <w:p>
      <w:pPr>
        <w:pStyle w:val="10000-DefaultParagraph"/>
        <w:numPr>
          <w:ilvl w:val="0"/>
          <w:numId w:val="371"/>
        </w:numPr>
        <w:rPr>
          <w:lang w:val="de-DE"/>
        </w:rPr>
      </w:pPr>
      <w:r>
        <w:rPr>
          <w:lang w:val="de-DE"/>
        </w:rPr>
        <w:t>Wie und mit welchen Zugängen und Authentifizierungsmerkmalen ist der administrative Zugang zum IT-System möglich?</w:t>
      </w:r>
    </w:p>
    <w:p>
      <w:pPr>
        <w:pStyle w:val="10000-DefaultParagraph"/>
        <w:numPr>
          <w:ilvl w:val="0"/>
          <w:numId w:val="372"/>
        </w:numPr>
        <w:rPr>
          <w:lang w:val="de-DE"/>
        </w:rPr>
      </w:pPr>
      <w:r>
        <w:rPr>
          <w:lang w:val="de-DE"/>
        </w:rPr>
        <w:t>Welche grundlegenden Designentscheidungen wurden bei der Installation getroffen?</w:t>
      </w:r>
    </w:p>
    <w:p>
      <w:pPr>
        <w:pStyle w:val="10000-DefaultParagraph"/>
        <w:numPr>
          <w:ilvl w:val="0"/>
          <w:numId w:val="373"/>
        </w:numPr>
        <w:rPr>
          <w:lang w:val="de-DE"/>
        </w:rPr>
      </w:pPr>
      <w:r>
        <w:rPr>
          <w:lang w:val="de-DE"/>
        </w:rPr>
        <w:t>Welche Änderungen wurden vorgenommen?</w:t>
      </w:r>
    </w:p>
    <w:p>
      <w:pPr>
        <w:pStyle w:val="10000-DefaultParagraph"/>
        <w:numPr>
          <w:ilvl w:val="0"/>
          <w:numId w:val="374"/>
        </w:numPr>
        <w:rPr>
          <w:lang w:val="de-DE"/>
        </w:rPr>
      </w:pPr>
      <w:r>
        <w:rPr>
          <w:lang w:val="de-DE"/>
        </w:rPr>
        <w:t>Wann wurden sie vorgenommen?</w:t>
      </w:r>
    </w:p>
    <w:p>
      <w:pPr>
        <w:pStyle w:val="10000-DefaultParagraph"/>
        <w:numPr>
          <w:ilvl w:val="0"/>
          <w:numId w:val="375"/>
        </w:numPr>
        <w:rPr>
          <w:lang w:val="de-DE"/>
        </w:rPr>
      </w:pPr>
      <w:r>
        <w:rPr>
          <w:lang w:val="de-DE"/>
        </w:rPr>
        <w:t>Wer hat sie vorgenommen?</w:t>
      </w:r>
    </w:p>
    <w:p>
      <w:pPr>
        <w:pStyle w:val="10000-DefaultParagraph"/>
        <w:numPr>
          <w:ilvl w:val="0"/>
          <w:numId w:val="376"/>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datensicherung"/>
      <w:bookmarkStart w:id="563" w:name="_Toc530662939"/>
      <w:bookmarkStart w:id="564" w:name="rl%252525252525252525252525252525252521k"/>
      <w:bookmarkStart w:id="565" w:name="_Toc531165074"/>
      <w:bookmarkStart w:id="566" w:name="_Toc187327101"/>
      <w:bookmarkStart w:id="567" w:name="_Toc178761372"/>
      <w:bookmarkEnd w:id="561"/>
      <w:bookmarkEnd w:id="564"/>
      <w:r>
        <w:rPr>
          <w:lang w:val="de-DE"/>
        </w:rPr>
        <w:t>Datensicherung</w:t>
      </w:r>
      <w:bookmarkEnd w:id="562"/>
      <w:bookmarkEnd w:id="563"/>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_Toc530662940"/>
      <w:bookmarkStart w:id="570" w:name="_Toc531165075"/>
      <w:bookmarkStart w:id="571" w:name="ueberwachung"/>
      <w:bookmarkStart w:id="572" w:name="_Toc178761373"/>
      <w:bookmarkStart w:id="573" w:name="rl%252525252525252525252525252525252521l"/>
      <w:bookmarkStart w:id="574" w:name="_Toc187327102"/>
      <w:bookmarkEnd w:id="568"/>
      <w:bookmarkEnd w:id="573"/>
      <w:r>
        <w:rPr>
          <w:lang w:val="de-DE"/>
        </w:rPr>
        <w:t>Überwachung</w:t>
      </w:r>
      <w:bookmarkEnd w:id="569"/>
      <w:bookmarkEnd w:id="570"/>
      <w:bookmarkEnd w:id="571"/>
      <w:bookmarkEnd w:id="572"/>
      <w:bookmarkEnd w:id="574"/>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highlight w:val="none"/>
          <w:shd w:fill="auto" w:val="clear"/>
        </w:rPr>
      </w:pPr>
      <w:bookmarkStart w:id="575" w:name="__RefHeading___beschraenkung_des_netzwe1"/>
      <w:bookmarkStart w:id="576" w:name="beschraenkung_des_netzwerkverkehrs_Copy_"/>
      <w:bookmarkStart w:id="577" w:name="rl%252525252525252525252525252525252521m"/>
      <w:bookmarkStart w:id="578" w:name="_Toc178761354_Copy_1"/>
      <w:bookmarkStart w:id="579" w:name="_Toc530662921_Copy_1"/>
      <w:bookmarkStart w:id="580" w:name="_Toc531165056_Copy_1"/>
      <w:bookmarkStart w:id="581" w:name="_Ref184204544_Copy_1"/>
      <w:bookmarkStart w:id="582" w:name="_Toc187327081_Copy_1"/>
      <w:bookmarkEnd w:id="575"/>
      <w:bookmarkEnd w:id="577"/>
      <w:commentRangeStart w:id="13"/>
      <w:r>
        <w:rPr>
          <w:shd w:fill="auto" w:val="clear"/>
          <w:lang w:val="de-DE"/>
        </w:rPr>
        <w:t>Beschränkung des Netzwerkverkehrs</w:t>
      </w:r>
      <w:bookmarkEnd w:id="576"/>
      <w:bookmarkEnd w:id="578"/>
      <w:bookmarkEnd w:id="579"/>
      <w:bookmarkEnd w:id="580"/>
      <w:bookmarkEnd w:id="581"/>
      <w:bookmarkEnd w:id="582"/>
    </w:p>
    <w:p>
      <w:pPr>
        <w:pStyle w:val="Normal"/>
        <w:rPr>
          <w:highlight w:val="none"/>
          <w:shd w:fill="auto" w:val="clear"/>
        </w:rPr>
      </w:pPr>
      <w:r>
        <w:rPr>
          <w:shd w:fill="auto" w:val="clear"/>
        </w:rPr>
        <w:t>Der Netzwerkverkehr von und zu wichtigen IT-Systemen MUSS auf das für die Funktionsfähigkeit notwendige Minimum beschränkt werden.</w:t>
      </w:r>
    </w:p>
    <w:p>
      <w:pPr>
        <w:pStyle w:val="Normal"/>
        <w:rPr/>
      </w:pPr>
      <w:r>
        <w:rPr>
          <w:rStyle w:val="Emphasis"/>
          <w:shd w:fill="auto" w:val="clear"/>
          <w:lang w:val="de-DE"/>
        </w:rPr>
        <w:t xml:space="preserve">Die Beschränkung des Netzwerkverkehrs KANN z. B. durch eine geeignete Segmentierung des Netzwerks (siehe Abschnitt </w:t>
      </w:r>
      <w:r>
        <w:rPr>
          <w:rStyle w:val="Emphasis"/>
          <w:shd w:fill="auto" w:val="clear"/>
          <w:lang w:val="de-DE"/>
        </w:rPr>
        <w:fldChar w:fldCharType="begin"/>
      </w:r>
      <w:r>
        <w:rPr>
          <w:rStyle w:val="Emphasis"/>
          <w:shd w:fill="auto" w:val="clear"/>
          <w:lang w:val="de-DE"/>
        </w:rPr>
        <w:instrText xml:space="preserve"> REF segmentierung \n \n \h </w:instrText>
      </w:r>
      <w:r>
        <w:rPr>
          <w:rStyle w:val="Emphasis"/>
          <w:shd w:fill="auto" w:val="clear"/>
          <w:lang w:val="de-DE"/>
        </w:rPr>
        <w:fldChar w:fldCharType="separate"/>
      </w:r>
      <w:r>
        <w:rPr>
          <w:rStyle w:val="Emphasis"/>
          <w:shd w:fill="auto" w:val="clear"/>
          <w:lang w:val="de-DE"/>
        </w:rPr>
        <w:t>11.5.3</w:t>
      </w:r>
      <w:r>
        <w:rPr>
          <w:rStyle w:val="Emphasis"/>
          <w:shd w:fill="auto" w:val="clear"/>
          <w:lang w:val="de-DE"/>
        </w:rPr>
        <w:fldChar w:fldCharType="end"/>
      </w:r>
      <w:r>
        <w:rPr>
          <w:rStyle w:val="Emphasis"/>
          <w:shd w:fill="auto" w:val="clear"/>
          <w:lang w:val="de-DE"/>
        </w:rPr>
        <w:t>), lokale Filtermechanismen oder durch das Deaktivieren nicht benötigter Dienste erfolgen.</w:t>
      </w:r>
      <w:commentRangeEnd w:id="13"/>
      <w:r>
        <w:commentReference w:id="13"/>
      </w:r>
      <w:r>
        <w:rPr>
          <w:rStyle w:val="Emphasis"/>
          <w:shd w:fill="auto" w:val="clear"/>
          <w:lang w:val="de-DE"/>
        </w:rPr>
      </w:r>
    </w:p>
    <w:p>
      <w:pPr>
        <w:pStyle w:val="Heading3"/>
        <w:ind w:hanging="0" w:left="0"/>
        <w:rPr>
          <w:lang w:val="de-DE"/>
        </w:rPr>
      </w:pPr>
      <w:bookmarkStart w:id="583" w:name="__RefHeading___kritische_individualsoftw"/>
      <w:bookmarkEnd w:id="583"/>
      <w:r>
        <w:rPr>
          <w:lang w:val="de-DE"/>
        </w:rPr>
        <w:t>Wichtige</w:t>
      </w:r>
      <w:bookmarkStart w:id="584" w:name="_Toc178761375"/>
      <w:bookmarkStart w:id="585" w:name="kritische_individualsoftware"/>
      <w:bookmarkStart w:id="586" w:name="_Toc531165077"/>
      <w:bookmarkStart w:id="587" w:name="_Toc530662942"/>
      <w:bookmarkStart w:id="588" w:name="_Toc187327104"/>
      <w:r>
        <w:rPr>
          <w:lang w:val="de-DE"/>
        </w:rPr>
        <w:t xml:space="preserve"> Individualsoftware</w:t>
      </w:r>
      <w:bookmarkEnd w:id="584"/>
      <w:bookmarkEnd w:id="585"/>
      <w:bookmarkEnd w:id="586"/>
      <w:bookmarkEnd w:id="587"/>
      <w:bookmarkEnd w:id="588"/>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77"/>
        </w:numPr>
        <w:rPr>
          <w:lang w:val="de-DE"/>
        </w:rPr>
      </w:pPr>
      <w:r>
        <w:rPr>
          <w:lang w:val="de-DE"/>
        </w:rPr>
        <w:t>Die Sicherheitsanforderungen an das Produkt werden durch eine Risikoanalyse und -behandlung definiert.</w:t>
      </w:r>
    </w:p>
    <w:p>
      <w:pPr>
        <w:pStyle w:val="Normal"/>
        <w:numPr>
          <w:ilvl w:val="0"/>
          <w:numId w:val="378"/>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highlight w:val="none"/>
          <w:shd w:fill="EEEEEE" w:val="clear"/>
        </w:rPr>
      </w:pPr>
      <w:bookmarkStart w:id="590" w:name="__RefHeading___Toc32036_2021121348"/>
      <w:bookmarkStart w:id="591" w:name="_Toc531165067"/>
      <w:bookmarkStart w:id="592" w:name="_Toc178588086"/>
      <w:bookmarkStart w:id="593" w:name="_Toc178761365"/>
      <w:bookmarkStart w:id="594" w:name="_Toc530662932"/>
      <w:bookmarkStart w:id="595" w:name="rl%252525252525252525252525252525252521n"/>
      <w:bookmarkStart w:id="596" w:name="_Toc187327093"/>
      <w:bookmarkEnd w:id="590"/>
      <w:bookmarkEnd w:id="595"/>
      <w:r>
        <w:rPr>
          <w:shd w:fill="EEEEEE" w:val="clear"/>
          <w:lang w:val="de-DE"/>
        </w:rPr>
        <w:t>Zusätzliche Maßnahmen für kritische IT-Systeme</w:t>
      </w:r>
      <w:bookmarkEnd w:id="591"/>
      <w:bookmarkEnd w:id="592"/>
      <w:bookmarkEnd w:id="593"/>
      <w:bookmarkEnd w:id="594"/>
      <w:bookmarkEnd w:id="596"/>
    </w:p>
    <w:p>
      <w:pPr>
        <w:pStyle w:val="Heading3"/>
        <w:ind w:hanging="0" w:left="0"/>
        <w:rPr>
          <w:highlight w:val="none"/>
          <w:shd w:fill="EEEEEE" w:val="clear"/>
        </w:rPr>
      </w:pPr>
      <w:bookmarkStart w:id="597" w:name="__RefHeading___Toc32038_2021121348"/>
      <w:bookmarkStart w:id="598" w:name="_Toc187327094"/>
      <w:bookmarkEnd w:id="597"/>
      <w:r>
        <w:rPr>
          <w:shd w:fill="EEEEEE" w:val="clear"/>
          <w:lang w:val="de-DE"/>
        </w:rPr>
        <w:t>Grundlagen</w:t>
      </w:r>
      <w:bookmarkEnd w:id="598"/>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zusätzlich für alle kritischen IT-Systeme umgesetzt werden.</w:t>
      </w:r>
      <w:r>
        <w:rPr>
          <w:rStyle w:val="Style"/>
          <w:shd w:fill="EEEEEE" w:val="clear"/>
          <w:lang w:val="de-DE"/>
        </w:rPr>
        <w:fldChar w:fldCharType="end"/>
      </w:r>
    </w:p>
    <w:p>
      <w:pPr>
        <w:pStyle w:val="Normal"/>
        <w:rPr>
          <w:highlight w:val="none"/>
          <w:shd w:fill="EEEEEE" w:val="clear"/>
        </w:rPr>
      </w:pPr>
      <w:r>
        <w:rPr>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_Ref179186913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599" w:name="__RefHeading___notbetriebsniveau_67"/>
      <w:bookmarkStart w:id="600" w:name="rl%252525252525252525252525252525252521o"/>
      <w:bookmarkStart w:id="601" w:name="_Toc530662934"/>
      <w:bookmarkStart w:id="602" w:name="_Toc178761367"/>
      <w:bookmarkStart w:id="603" w:name="_Ref179378810"/>
      <w:bookmarkStart w:id="604" w:name="_Ref179378792"/>
      <w:bookmarkStart w:id="605" w:name="_Ref179187477"/>
      <w:bookmarkStart w:id="606" w:name="notbetriebsniveau"/>
      <w:bookmarkStart w:id="607" w:name="_Toc531165069"/>
      <w:bookmarkStart w:id="608" w:name="_Ref179189166"/>
      <w:bookmarkStart w:id="609" w:name="_Toc187327096"/>
      <w:bookmarkEnd w:id="599"/>
      <w:bookmarkEnd w:id="600"/>
      <w:r>
        <w:rPr>
          <w:shd w:fill="EEEEEE" w:val="clear"/>
          <w:lang w:val="de-DE"/>
        </w:rPr>
        <w:t>Notbetriebsniveau</w:t>
      </w:r>
      <w:bookmarkEnd w:id="601"/>
      <w:bookmarkEnd w:id="602"/>
      <w:bookmarkEnd w:id="603"/>
      <w:bookmarkEnd w:id="604"/>
      <w:bookmarkEnd w:id="605"/>
      <w:bookmarkEnd w:id="606"/>
      <w:bookmarkEnd w:id="607"/>
      <w:bookmarkEnd w:id="608"/>
      <w:bookmarkEnd w:id="609"/>
    </w:p>
    <w:p>
      <w:pPr>
        <w:pStyle w:val="10000-Empfehlung"/>
        <w:rPr/>
      </w:pPr>
      <w:r>
        <w:rPr>
          <w:rStyle w:val="Emphasis"/>
          <w:i/>
          <w:shd w:fill="EEEEEE" w:val="clear"/>
          <w:lang w:val="de-DE"/>
        </w:rPr>
        <w:t>Für jedes kritische IT-System SOLLTE ein Notbetriebsniveau definiert werden.</w:t>
      </w:r>
    </w:p>
    <w:p>
      <w:pPr>
        <w:pStyle w:val="Heading3"/>
        <w:ind w:hanging="0" w:left="0"/>
        <w:rPr>
          <w:highlight w:val="none"/>
          <w:shd w:fill="EEEEEE" w:val="clear"/>
        </w:rPr>
      </w:pPr>
      <w:bookmarkStart w:id="610" w:name="__RefHeading___robustheit_68"/>
      <w:bookmarkStart w:id="611" w:name="_Toc530662935"/>
      <w:bookmarkStart w:id="612" w:name="rl%252525252525252525252525252525252521p"/>
      <w:bookmarkStart w:id="613" w:name="robustheit"/>
      <w:bookmarkStart w:id="614" w:name="_Toc531165070"/>
      <w:bookmarkStart w:id="615" w:name="_Toc187327097"/>
      <w:bookmarkStart w:id="616" w:name="_Toc178761368"/>
      <w:bookmarkEnd w:id="610"/>
      <w:bookmarkEnd w:id="612"/>
      <w:r>
        <w:rPr>
          <w:shd w:fill="EEEEEE" w:val="clear"/>
          <w:lang w:val="de-DE"/>
        </w:rPr>
        <w:t>Robustheit</w:t>
      </w:r>
      <w:bookmarkEnd w:id="611"/>
      <w:bookmarkEnd w:id="613"/>
      <w:bookmarkEnd w:id="614"/>
      <w:bookmarkEnd w:id="615"/>
      <w:bookmarkEnd w:id="616"/>
    </w:p>
    <w:p>
      <w:pPr>
        <w:pStyle w:val="10000-DefaultParagraph"/>
        <w:rPr>
          <w:highlight w:val="none"/>
          <w:shd w:fill="EEEEEE" w:val="clear"/>
        </w:rPr>
      </w:pPr>
      <w:r>
        <w:rPr>
          <w:shd w:fill="EEEEEE" w:val="clear"/>
          <w:lang w:val="de-DE"/>
        </w:rPr>
        <w:t>Auf kritischen IT-Systemen DÜRFEN KEINE Entwicklungen oder Tests durchgeführt werden.</w:t>
      </w:r>
    </w:p>
    <w:p>
      <w:pPr>
        <w:pStyle w:val="10000-DefaultParagraph"/>
        <w:rPr>
          <w:highlight w:val="none"/>
          <w:shd w:fill="EEEEEE" w:val="clear"/>
        </w:rPr>
      </w:pPr>
      <w:r>
        <w:rPr>
          <w:shd w:fill="EEEEEE" w:val="clea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17" w:name="__RefHeading___Toc42889_2021121348"/>
      <w:bookmarkEnd w:id="617"/>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highlight w:val="none"/>
          <w:shd w:fill="EEEEEE" w:val="clear"/>
        </w:rPr>
      </w:pPr>
      <w:bookmarkStart w:id="618" w:name="__RefHeading___externe_schnittstellen_un"/>
      <w:bookmarkStart w:id="619" w:name="rl%252525252525252525252525252525252521q"/>
      <w:bookmarkStart w:id="620" w:name="_Toc530662936"/>
      <w:bookmarkStart w:id="621" w:name="externe_schnittstellen_und_laufwerke1"/>
      <w:bookmarkStart w:id="622" w:name="_Toc187327098"/>
      <w:bookmarkStart w:id="623" w:name="_Toc531165071"/>
      <w:bookmarkStart w:id="624" w:name="_Toc178761369"/>
      <w:bookmarkEnd w:id="618"/>
      <w:bookmarkEnd w:id="619"/>
      <w:r>
        <w:rPr>
          <w:shd w:fill="EEEEEE" w:val="clear"/>
          <w:lang w:val="de-DE"/>
        </w:rPr>
        <w:t>Externe Schnittstellen und Laufwerke</w:t>
      </w:r>
      <w:bookmarkEnd w:id="620"/>
      <w:bookmarkEnd w:id="621"/>
      <w:bookmarkEnd w:id="622"/>
      <w:bookmarkEnd w:id="623"/>
      <w:bookmarkEnd w:id="624"/>
    </w:p>
    <w:p>
      <w:pPr>
        <w:pStyle w:val="Normal"/>
        <w:rPr>
          <w:highlight w:val="none"/>
          <w:shd w:fill="EEEEEE" w:val="clear"/>
        </w:rPr>
      </w:pPr>
      <w:r>
        <w:rPr>
          <w:shd w:fill="EEEEEE" w:val="clea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rl%252525252525252525252525252525252521r"/>
      <w:bookmarkStart w:id="627" w:name="_Toc530662937"/>
      <w:bookmarkStart w:id="628" w:name="_Toc187327099"/>
      <w:bookmarkStart w:id="629" w:name="_Toc531165072"/>
      <w:bookmarkStart w:id="630" w:name="aenderungsmanagement"/>
      <w:bookmarkStart w:id="631" w:name="_Toc178761370"/>
      <w:bookmarkEnd w:id="625"/>
      <w:bookmarkEnd w:id="626"/>
      <w:r>
        <w:rPr>
          <w:lang w:val="de-DE"/>
        </w:rPr>
        <w:t>Änderungsmanagement</w:t>
      </w:r>
      <w:bookmarkEnd w:id="627"/>
      <w:bookmarkEnd w:id="628"/>
      <w:bookmarkEnd w:id="629"/>
      <w:bookmarkEnd w:id="630"/>
      <w:bookmarkEnd w:id="631"/>
    </w:p>
    <w:p>
      <w:pPr>
        <w:pStyle w:val="Normal"/>
        <w:rPr>
          <w:highlight w:val="none"/>
          <w:shd w:fill="EEEEEE" w:val="clear"/>
        </w:rPr>
      </w:pPr>
      <w:r>
        <w:rPr>
          <w:shd w:fill="EEEEEE" w:val="clear"/>
        </w:rPr>
        <w:t>Änderungen, die auf kritischen IT-Systemen umgesetzt werden sollen, MÜSSEN zuvor in einer Test</w:t>
        <w:softHyphen/>
        <w:t>umgebung getestet und freigegeben worden sein.</w:t>
      </w:r>
    </w:p>
    <w:p>
      <w:pPr>
        <w:pStyle w:val="Normal"/>
        <w:rPr>
          <w:highlight w:val="none"/>
          <w:shd w:fill="EEEEEE" w:val="clear"/>
        </w:rPr>
      </w:pPr>
      <w:r>
        <w:rPr>
          <w:shd w:fill="EEEEEE" w:val="clea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shd w:fill="EEEEEE" w:val="clear"/>
          <w:lang w:val="de-DE"/>
        </w:rPr>
        <w:fldChar w:fldCharType="begin"/>
      </w:r>
      <w:r>
        <w:rPr>
          <w:shd w:fill="EEEEEE" w:val="clear"/>
          <w:lang w:val="de-DE"/>
        </w:rPr>
        <w:instrText xml:space="preserve"> REF _Ref179187025 \n \n \h </w:instrText>
      </w:r>
      <w:r>
        <w:rPr>
          <w:shd w:fill="EEEEEE" w:val="clear"/>
          <w:lang w:val="de-DE"/>
        </w:rPr>
        <w:fldChar w:fldCharType="separate"/>
      </w:r>
      <w:r>
        <w:rPr>
          <w:shd w:fill="EEEEEE" w:val="clear"/>
          <w:lang w:val="de-DE"/>
        </w:rPr>
        <w:t>10.7.7</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632" w:name="__RefHeading___ersatzsysteme_und_-verfah"/>
      <w:bookmarkStart w:id="633" w:name="_Toc531165076"/>
      <w:bookmarkStart w:id="634" w:name="_Toc187327103"/>
      <w:bookmarkStart w:id="635" w:name="_Toc178761374"/>
      <w:bookmarkStart w:id="636" w:name="_Ref179189188"/>
      <w:bookmarkStart w:id="637" w:name="ersatzsysteme_und_-verfahren"/>
      <w:bookmarkStart w:id="638" w:name="_Ref179189029"/>
      <w:bookmarkStart w:id="639" w:name="_Toc530662941"/>
      <w:bookmarkStart w:id="640" w:name="rl%252525252525252525252525252525252521s"/>
      <w:bookmarkStart w:id="641" w:name="_Ref179187025"/>
      <w:bookmarkEnd w:id="632"/>
      <w:bookmarkEnd w:id="640"/>
      <w:r>
        <w:rPr>
          <w:shd w:fill="EEEEEE" w:val="clear"/>
          <w:lang w:val="de-DE"/>
        </w:rPr>
        <w:t>Ersatzsysteme und -verfahren</w:t>
      </w:r>
      <w:bookmarkEnd w:id="633"/>
      <w:bookmarkEnd w:id="634"/>
      <w:bookmarkEnd w:id="635"/>
      <w:bookmarkEnd w:id="636"/>
      <w:bookmarkEnd w:id="637"/>
      <w:bookmarkEnd w:id="638"/>
      <w:bookmarkEnd w:id="639"/>
      <w:bookmarkEnd w:id="641"/>
    </w:p>
    <w:p>
      <w:pPr>
        <w:pStyle w:val="Normal"/>
        <w:rPr>
          <w:highlight w:val="none"/>
          <w:shd w:fill="EEEEEE" w:val="clear"/>
        </w:rPr>
      </w:pPr>
      <w:r>
        <w:rPr>
          <w:shd w:fill="EEEEEE" w:val="clear"/>
        </w:rPr>
        <w:t>Wenn ein kritisches IT-System innerhalb seiner MTA nicht wiederhergestellt werden kann, MUSS die Organisation über ein Ersatzsystem oder -verfahren verfügen, das es ermöglicht, die vom kritischen IT-System abhängigen zentralen Prozesse und Prozesse mit hohem Schadenpotential weiter zu betreiben.</w:t>
      </w:r>
    </w:p>
    <w:p>
      <w:pPr>
        <w:pStyle w:val="Normal"/>
        <w:rPr/>
      </w:pPr>
      <w:r>
        <w:rPr>
          <w:rStyle w:val="Emphasis"/>
          <w:shd w:fill="EEEEEE" w:val="clear"/>
          <w:lang w:val="de-DE"/>
        </w:rPr>
        <w:t xml:space="preserve">Das Ersatzsystem oder -verfahren SOLLTE das Notbetriebsniveau (siehe Abschnitt </w:t>
      </w:r>
      <w:r>
        <w:rPr>
          <w:rStyle w:val="Emphasis"/>
          <w:shd w:fill="EEEEEE" w:val="clear"/>
          <w:lang w:val="de-DE"/>
        </w:rPr>
        <w:fldChar w:fldCharType="begin"/>
      </w:r>
      <w:r>
        <w:rPr>
          <w:rStyle w:val="Emphasis"/>
          <w:shd w:fill="EEEEEE" w:val="clear"/>
          <w:lang w:val="de-DE"/>
        </w:rPr>
        <w:instrText xml:space="preserve"> REF _Ref179378810 \n \n \h </w:instrText>
      </w:r>
      <w:r>
        <w:rPr>
          <w:rStyle w:val="Emphasis"/>
          <w:shd w:fill="EEEEEE" w:val="clear"/>
          <w:lang w:val="de-DE"/>
        </w:rPr>
        <w:fldChar w:fldCharType="separate"/>
      </w:r>
      <w:r>
        <w:rPr>
          <w:rStyle w:val="Emphasis"/>
          <w:shd w:fill="EEEEEE" w:val="clear"/>
          <w:lang w:val="de-DE"/>
        </w:rPr>
        <w:t>10.7.2</w:t>
      </w:r>
      <w:r>
        <w:rPr>
          <w:rStyle w:val="Emphasis"/>
          <w:shd w:fill="EEEEEE" w:val="clear"/>
          <w:lang w:val="de-DE"/>
        </w:rPr>
        <w:fldChar w:fldCharType="end"/>
      </w:r>
      <w:r>
        <w:rPr>
          <w:rStyle w:val="Emphasis"/>
          <w:shd w:fill="EEEEEE" w:val="clear"/>
          <w:lang w:val="de-DE"/>
        </w:rPr>
        <w:t>) des kritischen IT-Systems sicherstellen.</w:t>
      </w:r>
    </w:p>
    <w:p>
      <w:pPr>
        <w:pStyle w:val="Heading3"/>
        <w:ind w:hanging="0" w:left="0"/>
        <w:rPr>
          <w:lang w:val="de-DE"/>
        </w:rPr>
      </w:pPr>
      <w:bookmarkStart w:id="642" w:name="__RefHeading___Toc42891_2021121348"/>
      <w:bookmarkEnd w:id="642"/>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79"/>
        </w:numPr>
        <w:rPr>
          <w:lang w:val="de-DE"/>
        </w:rPr>
      </w:pPr>
      <w:r>
        <w:rPr>
          <w:lang w:val="de-DE"/>
        </w:rPr>
        <w:t>Es wird eine Sicherheitsarchitektur definiert, die die ermittelten Sicherheitsanforderungen (siehe Abschnitt X.Y) erfüllt.</w:t>
      </w:r>
    </w:p>
    <w:p>
      <w:pPr>
        <w:pStyle w:val="Normal"/>
        <w:numPr>
          <w:ilvl w:val="0"/>
          <w:numId w:val="380"/>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81"/>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82"/>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83"/>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highlight w:val="none"/>
          <w:shd w:fill="EEEEEE" w:val="clear"/>
        </w:rPr>
      </w:pPr>
      <w:bookmarkStart w:id="643" w:name="__RefHeading___Toc32040_2021121348"/>
      <w:bookmarkStart w:id="644" w:name="_Ref184204596"/>
      <w:bookmarkStart w:id="645" w:name="_Toc178588087"/>
      <w:bookmarkStart w:id="646" w:name="rl%252525252525252525252525252525252521t"/>
      <w:bookmarkStart w:id="647" w:name="_Toc178761376"/>
      <w:bookmarkStart w:id="648" w:name="_Toc187327105"/>
      <w:bookmarkStart w:id="649" w:name="_Toc531165078"/>
      <w:bookmarkStart w:id="650" w:name="netzwerke_und_verbindungen"/>
      <w:bookmarkStart w:id="651" w:name="_Toc530662943"/>
      <w:bookmarkEnd w:id="643"/>
      <w:bookmarkEnd w:id="646"/>
      <w:r>
        <w:rPr>
          <w:shd w:fill="EEEEEE" w:val="clear"/>
          <w:lang w:val="de-DE"/>
        </w:rPr>
        <w:t>Netzwerke und Verbindungen</w:t>
      </w:r>
      <w:bookmarkEnd w:id="644"/>
      <w:bookmarkEnd w:id="645"/>
      <w:bookmarkEnd w:id="647"/>
      <w:bookmarkEnd w:id="648"/>
      <w:bookmarkEnd w:id="649"/>
      <w:bookmarkEnd w:id="650"/>
      <w:bookmarkEnd w:id="651"/>
    </w:p>
    <w:p>
      <w:pPr>
        <w:pStyle w:val="Heading2"/>
        <w:ind w:hanging="0" w:left="0"/>
        <w:rPr>
          <w:highlight w:val="none"/>
          <w:shd w:fill="EEEEEE" w:val="clear"/>
        </w:rPr>
      </w:pPr>
      <w:bookmarkStart w:id="652" w:name="__RefHeading___Toc32042_2021121348"/>
      <w:bookmarkStart w:id="653" w:name="_Toc187327106"/>
      <w:bookmarkEnd w:id="652"/>
      <w:r>
        <w:rPr>
          <w:shd w:fill="EEEEEE" w:val="clear"/>
          <w:lang w:val="de-DE"/>
        </w:rPr>
        <w:t>Grundlagen</w:t>
      </w:r>
      <w:bookmarkEnd w:id="653"/>
    </w:p>
    <w:p>
      <w:pPr>
        <w:pStyle w:val="Normal"/>
        <w:rPr>
          <w:highlight w:val="none"/>
          <w:shd w:fill="EEEEEE" w:val="clear"/>
        </w:rPr>
      </w:pPr>
      <w:r>
        <w:rPr>
          <w:shd w:fill="EEEEEE" w:val="clear"/>
          <w:lang w:val="de-DE"/>
        </w:rPr>
        <w:t>Netzwerke und Verbindungen übertragen Informationen und vernetzen IT-Systeme miteinander. Es ist notwendig, sie angemessen abzusichern.</w:t>
      </w:r>
    </w:p>
    <w:p>
      <w:pPr>
        <w:pStyle w:val="Heading2"/>
        <w:ind w:hanging="0" w:left="0"/>
        <w:rPr>
          <w:highlight w:val="none"/>
          <w:shd w:fill="EEEEEE" w:val="clear"/>
        </w:rPr>
      </w:pPr>
      <w:bookmarkStart w:id="654" w:name="__RefHeading___Toc32044_2021121348"/>
      <w:bookmarkStart w:id="655" w:name="_Toc187327107"/>
      <w:bookmarkStart w:id="656" w:name="_Toc530662944"/>
      <w:bookmarkStart w:id="657" w:name="_Toc178588088"/>
      <w:bookmarkStart w:id="658" w:name="del_dokumentationdel_netzwerkplan"/>
      <w:bookmarkStart w:id="659" w:name="rl%252525252525252525252525252525252521u"/>
      <w:bookmarkStart w:id="660" w:name="_Toc531165079"/>
      <w:bookmarkStart w:id="661" w:name="_Toc178761377"/>
      <w:bookmarkEnd w:id="654"/>
      <w:bookmarkEnd w:id="659"/>
      <w:r>
        <w:rPr>
          <w:shd w:fill="EEEEEE" w:val="clear"/>
          <w:lang w:val="de-DE"/>
        </w:rPr>
        <w:t>Netzwerkplan</w:t>
      </w:r>
      <w:bookmarkEnd w:id="655"/>
      <w:bookmarkEnd w:id="656"/>
      <w:bookmarkEnd w:id="657"/>
      <w:bookmarkEnd w:id="658"/>
      <w:bookmarkEnd w:id="660"/>
      <w:bookmarkEnd w:id="661"/>
    </w:p>
    <w:p>
      <w:pPr>
        <w:pStyle w:val="10000-DefaultParagraph"/>
        <w:rPr>
          <w:highlight w:val="none"/>
          <w:shd w:fill="EEEEEE" w:val="clear"/>
        </w:rPr>
      </w:pPr>
      <w:r>
        <w:rPr>
          <w:shd w:fill="EEEEEE" w:val="clear"/>
          <w:lang w:val="de-DE"/>
        </w:rPr>
        <w:t>Die Netzwerke der Organisation MÜSSEN so erfasst sein, dass fachlich versierte Personen folgende Punkte nachvollziehen können:</w:t>
      </w:r>
    </w:p>
    <w:p>
      <w:pPr>
        <w:pStyle w:val="10000-DefaultParagraph"/>
        <w:numPr>
          <w:ilvl w:val="0"/>
          <w:numId w:val="384"/>
        </w:numPr>
        <w:rPr>
          <w:highlight w:val="none"/>
          <w:shd w:fill="EEEEEE" w:val="clear"/>
        </w:rPr>
      </w:pPr>
      <w:r>
        <w:rPr>
          <w:shd w:fill="EEEEEE" w:val="clear"/>
          <w:lang w:val="de-DE"/>
        </w:rPr>
        <w:t>physikalische Netzwerkstruktur</w:t>
      </w:r>
    </w:p>
    <w:p>
      <w:pPr>
        <w:pStyle w:val="10000-DefaultParagraph"/>
        <w:numPr>
          <w:ilvl w:val="1"/>
          <w:numId w:val="385"/>
        </w:numPr>
        <w:rPr>
          <w:highlight w:val="none"/>
          <w:shd w:fill="EEEEEE" w:val="clear"/>
        </w:rPr>
      </w:pPr>
      <w:r>
        <w:rPr>
          <w:shd w:fill="EEEEEE" w:val="clear"/>
          <w:lang w:val="de-DE"/>
        </w:rPr>
        <w:t>aktive Netzwerkkomponenten und deren Verbindungen untereinander</w:t>
      </w:r>
    </w:p>
    <w:p>
      <w:pPr>
        <w:pStyle w:val="10000-DefaultParagraph"/>
        <w:numPr>
          <w:ilvl w:val="1"/>
          <w:numId w:val="26"/>
        </w:numPr>
        <w:rPr>
          <w:highlight w:val="none"/>
          <w:shd w:fill="EEEEEE" w:val="clear"/>
        </w:rPr>
      </w:pPr>
      <w:r>
        <w:rPr>
          <w:shd w:fill="EEEEEE" w:val="clear"/>
          <w:lang w:val="de-DE"/>
        </w:rPr>
        <w:t>physikalisches Medium der Verbindungen</w:t>
      </w:r>
    </w:p>
    <w:p>
      <w:pPr>
        <w:pStyle w:val="10000-DefaultParagraph"/>
        <w:numPr>
          <w:ilvl w:val="0"/>
          <w:numId w:val="386"/>
        </w:numPr>
        <w:rPr>
          <w:highlight w:val="none"/>
          <w:shd w:fill="EEEEEE" w:val="clear"/>
        </w:rPr>
      </w:pPr>
      <w:r>
        <w:rPr>
          <w:shd w:fill="EEEEEE" w:val="clear"/>
          <w:lang w:val="de-DE"/>
        </w:rPr>
        <w:t>logische Netzwerkstruktur</w:t>
      </w:r>
    </w:p>
    <w:p>
      <w:pPr>
        <w:pStyle w:val="10000-DefaultParagraph"/>
        <w:numPr>
          <w:ilvl w:val="1"/>
          <w:numId w:val="387"/>
        </w:numPr>
        <w:rPr>
          <w:highlight w:val="none"/>
          <w:shd w:fill="EEEEEE" w:val="clear"/>
        </w:rPr>
      </w:pPr>
      <w:r>
        <w:rPr>
          <w:shd w:fill="EEEEEE" w:val="clear"/>
          <w:lang w:val="de-DE"/>
        </w:rPr>
        <w:t xml:space="preserve">Netzwerksegmente (siehe Abschnitt </w:t>
      </w:r>
      <w:r>
        <w:rPr>
          <w:shd w:fill="EEEEEE" w:val="clear"/>
          <w:lang w:val="de-DE"/>
        </w:rPr>
        <w:fldChar w:fldCharType="begin"/>
      </w:r>
      <w:r>
        <w:rPr>
          <w:shd w:fill="EEEEEE" w:val="clear"/>
          <w:lang w:val="de-DE"/>
        </w:rPr>
        <w:instrText xml:space="preserve"> REF segmentierung \n \n \h </w:instrText>
      </w:r>
      <w:r>
        <w:rPr>
          <w:shd w:fill="EEEEEE" w:val="clear"/>
          <w:lang w:val="de-DE"/>
        </w:rPr>
        <w:fldChar w:fldCharType="separate"/>
      </w:r>
      <w:r>
        <w:rPr>
          <w:shd w:fill="EEEEEE" w:val="clear"/>
          <w:lang w:val="de-DE"/>
        </w:rPr>
        <w:t>11.5.3</w:t>
      </w:r>
      <w:r>
        <w:rPr>
          <w:shd w:fill="EEEEEE" w:val="clear"/>
          <w:lang w:val="de-DE"/>
        </w:rPr>
        <w:fldChar w:fldCharType="end"/>
      </w:r>
      <w:r>
        <w:rPr>
          <w:shd w:fill="EEEEEE" w:val="clear"/>
          <w:lang w:val="de-DE"/>
        </w:rPr>
        <w:t>), deren Einsatzzweck und deren Verbindungen untereinander</w:t>
      </w:r>
    </w:p>
    <w:p>
      <w:pPr>
        <w:pStyle w:val="10000-DefaultParagraph"/>
        <w:numPr>
          <w:ilvl w:val="1"/>
          <w:numId w:val="26"/>
        </w:numPr>
        <w:rPr>
          <w:highlight w:val="none"/>
          <w:shd w:fill="EEEEEE" w:val="clear"/>
        </w:rPr>
      </w:pPr>
      <w:r>
        <w:rPr>
          <w:shd w:fill="EEEEEE" w:val="clear"/>
          <w:lang w:val="de-DE"/>
        </w:rPr>
        <w:t xml:space="preserve">Fernzugänge (siehe Abschnitt </w:t>
      </w:r>
      <w:r>
        <w:rPr>
          <w:shd w:fill="EEEEEE" w:val="clear"/>
          <w:lang w:val="de-DE"/>
        </w:rPr>
        <w:fldChar w:fldCharType="begin"/>
      </w:r>
      <w:r>
        <w:rPr>
          <w:shd w:fill="EEEEEE" w:val="clear"/>
          <w:lang w:val="de-DE"/>
        </w:rPr>
        <w:instrText xml:space="preserve"> REF _Ref179187517 \n \n \h </w:instrText>
      </w:r>
      <w:r>
        <w:rPr>
          <w:shd w:fill="EEEEEE" w:val="clear"/>
          <w:lang w:val="de-DE"/>
        </w:rPr>
        <w:fldChar w:fldCharType="separate"/>
      </w:r>
      <w:r>
        <w:rPr>
          <w:shd w:fill="EEEEEE" w:val="clear"/>
          <w:lang w:val="de-DE"/>
        </w:rPr>
        <w:t>11.5.4</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Netzwerkkopplungen (siehe Abschnitt </w:t>
      </w:r>
      <w:r>
        <w:rPr>
          <w:shd w:fill="EEEEEE" w:val="clear"/>
          <w:lang w:val="de-DE"/>
        </w:rPr>
        <w:fldChar w:fldCharType="begin"/>
      </w:r>
      <w:r>
        <w:rPr>
          <w:shd w:fill="EEEEEE" w:val="clear"/>
          <w:lang w:val="de-DE"/>
        </w:rPr>
        <w:instrText xml:space="preserve"> REF netzwerkkopplung \n \n \h </w:instrText>
      </w:r>
      <w:r>
        <w:rPr>
          <w:shd w:fill="EEEEEE" w:val="clear"/>
          <w:lang w:val="de-DE"/>
        </w:rPr>
        <w:fldChar w:fldCharType="separate"/>
      </w:r>
      <w:r>
        <w:rPr>
          <w:shd w:fill="EEEEEE" w:val="clear"/>
          <w:lang w:val="de-DE"/>
        </w:rPr>
        <w:t>11.5.5</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Netzübergänge zu weniger oder nicht vertrauenswürdigen Netzwerken (siehe Abschnitt </w:t>
      </w:r>
      <w:r>
        <w:rPr>
          <w:shd w:fill="EEEEEE" w:val="clear"/>
          <w:lang w:val="de-DE"/>
        </w:rPr>
        <w:fldChar w:fldCharType="begin"/>
      </w:r>
      <w:r>
        <w:rPr>
          <w:shd w:fill="EEEEEE" w:val="clear"/>
          <w:lang w:val="de-DE"/>
        </w:rPr>
        <w:instrText xml:space="preserve"> REF _Ref179187553 \n \n \h </w:instrText>
      </w:r>
      <w:r>
        <w:rPr>
          <w:shd w:fill="EEEEEE" w:val="clear"/>
          <w:lang w:val="de-DE"/>
        </w:rPr>
        <w:fldChar w:fldCharType="separate"/>
      </w:r>
      <w:r>
        <w:rPr>
          <w:shd w:fill="EEEEEE" w:val="clear"/>
          <w:lang w:val="de-DE"/>
        </w:rPr>
        <w:t>11.4</w:t>
      </w:r>
      <w:r>
        <w:rPr>
          <w:shd w:fill="EEEEEE" w:val="clear"/>
          <w:lang w:val="de-DE"/>
        </w:rPr>
        <w:fldChar w:fldCharType="end"/>
      </w:r>
      <w:r>
        <w:rPr>
          <w:shd w:fill="EEEEEE" w:val="clear"/>
          <w:lang w:val="de-DE"/>
        </w:rPr>
        <w:t>)</w:t>
      </w:r>
    </w:p>
    <w:p>
      <w:pPr>
        <w:pStyle w:val="Heading2"/>
        <w:ind w:hanging="0" w:left="0"/>
        <w:rPr>
          <w:highlight w:val="none"/>
          <w:shd w:fill="EEEEEE" w:val="clear"/>
        </w:rPr>
      </w:pPr>
      <w:bookmarkStart w:id="662" w:name="__RefHeading___Toc32046_2021121348"/>
      <w:bookmarkStart w:id="663" w:name="aktive_netzwerkkomponenten"/>
      <w:bookmarkStart w:id="664" w:name="_Toc531165080"/>
      <w:bookmarkStart w:id="665" w:name="_Toc530662945"/>
      <w:bookmarkStart w:id="666" w:name="_Toc187327108"/>
      <w:bookmarkStart w:id="667" w:name="_Toc178588089"/>
      <w:bookmarkStart w:id="668" w:name="rl%252525252525252525252525252525252521v"/>
      <w:bookmarkStart w:id="669" w:name="_Toc178761378"/>
      <w:bookmarkEnd w:id="662"/>
      <w:bookmarkEnd w:id="668"/>
      <w:r>
        <w:rPr>
          <w:shd w:fill="EEEEEE" w:val="clear"/>
          <w:lang w:val="de-DE"/>
        </w:rPr>
        <w:t>Aktive Netzwerkkomponenten</w:t>
      </w:r>
      <w:bookmarkEnd w:id="663"/>
      <w:bookmarkEnd w:id="664"/>
      <w:bookmarkEnd w:id="665"/>
      <w:bookmarkEnd w:id="666"/>
      <w:bookmarkEnd w:id="667"/>
      <w:bookmarkEnd w:id="669"/>
    </w:p>
    <w:p>
      <w:pPr>
        <w:pStyle w:val="10000-DefaultParagraph"/>
        <w:rPr>
          <w:highlight w:val="none"/>
          <w:shd w:fill="EEEEEE" w:val="clear"/>
        </w:rPr>
      </w:pPr>
      <w:r>
        <w:rPr>
          <w:shd w:fill="EEEEEE" w:val="clear"/>
          <w:lang w:val="de-DE"/>
        </w:rPr>
        <w:t xml:space="preserve">Aktive Netzwerkkomponenten sind IT-Systeme und MÜSSEN gemäß Kapitel </w:t>
      </w:r>
      <w:r>
        <w:rPr>
          <w:shd w:fill="EEEEEE" w:val="clear"/>
          <w:lang w:val="de-DE"/>
        </w:rPr>
        <w:fldChar w:fldCharType="begin"/>
      </w:r>
      <w:r>
        <w:rPr>
          <w:shd w:fill="EEEEEE" w:val="clear"/>
          <w:lang w:val="de-DE"/>
        </w:rPr>
        <w:instrText xml:space="preserve"> REF it-systeme \n \n \h </w:instrText>
      </w:r>
      <w:r>
        <w:rPr>
          <w:shd w:fill="EEEEEE" w:val="clear"/>
          <w:lang w:val="de-DE"/>
        </w:rPr>
        <w:fldChar w:fldCharType="separate"/>
      </w:r>
      <w:r>
        <w:rPr>
          <w:shd w:fill="EEEEEE" w:val="clear"/>
          <w:lang w:val="de-DE"/>
        </w:rPr>
        <w:t>10</w:t>
      </w:r>
      <w:r>
        <w:rPr>
          <w:shd w:fill="EEEEEE" w:val="clear"/>
          <w:lang w:val="de-DE"/>
        </w:rPr>
        <w:fldChar w:fldCharType="end"/>
      </w:r>
      <w:r>
        <w:rPr>
          <w:shd w:fill="EEEEEE" w:val="clear"/>
          <w:lang w:val="de-DE"/>
        </w:rPr>
        <w:t xml:space="preserve"> behandelt werden.</w:t>
      </w:r>
    </w:p>
    <w:p>
      <w:pPr>
        <w:pStyle w:val="Heading2"/>
        <w:ind w:hanging="0" w:left="0"/>
        <w:rPr>
          <w:highlight w:val="none"/>
          <w:shd w:fill="EEEEEE" w:val="clear"/>
        </w:rPr>
      </w:pPr>
      <w:bookmarkStart w:id="670" w:name="__RefHeading___Toc32048_2021121348"/>
      <w:bookmarkStart w:id="671" w:name="_Toc187327109"/>
      <w:bookmarkStart w:id="672" w:name="netzuebergaenge"/>
      <w:bookmarkStart w:id="673" w:name="_Toc178588090"/>
      <w:bookmarkStart w:id="674" w:name="_Toc531165081"/>
      <w:bookmarkStart w:id="675" w:name="_Ref179187553"/>
      <w:bookmarkStart w:id="676" w:name="rl%252525252525252525252525252525252521w"/>
      <w:bookmarkStart w:id="677" w:name="_Toc178761379"/>
      <w:bookmarkStart w:id="678" w:name="_Toc530662946"/>
      <w:bookmarkEnd w:id="670"/>
      <w:bookmarkEnd w:id="676"/>
      <w:r>
        <w:rPr>
          <w:shd w:fill="EEEEEE" w:val="clear"/>
          <w:lang w:val="de-DE"/>
        </w:rPr>
        <w:t>Netzübergänge</w:t>
      </w:r>
      <w:bookmarkEnd w:id="671"/>
      <w:bookmarkEnd w:id="672"/>
      <w:bookmarkEnd w:id="673"/>
      <w:bookmarkEnd w:id="674"/>
      <w:bookmarkEnd w:id="675"/>
      <w:bookmarkEnd w:id="677"/>
      <w:bookmarkEnd w:id="678"/>
    </w:p>
    <w:p>
      <w:pPr>
        <w:pStyle w:val="10000-DefaultParagraph"/>
        <w:rPr>
          <w:highlight w:val="none"/>
          <w:shd w:fill="EEEEEE" w:val="clear"/>
        </w:rPr>
      </w:pPr>
      <w:r>
        <w:rPr>
          <w:shd w:fill="EEEEEE" w:val="clear"/>
          <w:lang w:val="de-DE"/>
        </w:rPr>
        <w:t>Folgende Maßnahmen MÜSSEN für alle Netzübergänge zu weniger oder nicht vertrauenswürdigen Netzwerken umgesetzt werden:</w:t>
      </w:r>
    </w:p>
    <w:p>
      <w:pPr>
        <w:pStyle w:val="10000-DefaultParagraph"/>
        <w:numPr>
          <w:ilvl w:val="0"/>
          <w:numId w:val="388"/>
        </w:numPr>
        <w:rPr>
          <w:highlight w:val="none"/>
          <w:shd w:fill="EEEEEE" w:val="clear"/>
        </w:rPr>
      </w:pPr>
      <w:r>
        <w:rPr>
          <w:shd w:fill="EEEEEE" w:val="clear"/>
          <w:lang w:val="de-DE"/>
        </w:rPr>
        <w:t>Der Netzwerkverkehr wird auf das für die Funktionsfähigkeit notwendige Minimum beschränkt.</w:t>
      </w:r>
    </w:p>
    <w:p>
      <w:pPr>
        <w:pStyle w:val="10000-DefaultParagraph"/>
        <w:numPr>
          <w:ilvl w:val="0"/>
          <w:numId w:val="389"/>
        </w:numPr>
        <w:rPr>
          <w:highlight w:val="none"/>
          <w:shd w:fill="EEEEEE" w:val="clear"/>
        </w:rPr>
      </w:pPr>
      <w:r>
        <w:rPr>
          <w:shd w:fill="EEEEEE" w:val="clear"/>
          <w:lang w:val="de-DE"/>
        </w:rPr>
        <w:t>Der Inhalt erlaubter Verbindungen wird auf Schadsoftware und Angriffe untersucht; erkannte Schadsoftware und Angriffe werden blockiert.</w:t>
      </w:r>
    </w:p>
    <w:p>
      <w:pPr>
        <w:pStyle w:val="10000-DefaultParagraph"/>
        <w:numPr>
          <w:ilvl w:val="0"/>
          <w:numId w:val="390"/>
        </w:numPr>
        <w:rPr>
          <w:highlight w:val="none"/>
          <w:shd w:fill="EEEEEE" w:val="clear"/>
        </w:rPr>
      </w:pPr>
      <w:r>
        <w:rPr>
          <w:shd w:fill="EEEEEE" w:val="clear"/>
          <w:lang w:val="de-DE"/>
        </w:rPr>
        <w:t xml:space="preserve">Hinweise auf Schadsoftware in der IT-Infrastruktur der Organisation und Angriffe aus der IT-Infrastruktur der Organisation heraus werden als Sicherheitsvorfall (siehe Kapitel </w:t>
      </w:r>
      <w:r>
        <w:rPr>
          <w:shd w:fill="EEEEEE" w:val="clear"/>
          <w:lang w:val="de-DE"/>
        </w:rPr>
        <w:fldChar w:fldCharType="begin"/>
      </w:r>
      <w:r>
        <w:rPr>
          <w:shd w:fill="EEEEEE" w:val="clear"/>
          <w:lang w:val="de-DE"/>
        </w:rPr>
        <w:instrText xml:space="preserve"> REF _Ref179187629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w:t>
      </w:r>
    </w:p>
    <w:p>
      <w:pPr>
        <w:pStyle w:val="10000-DefaultParagraph"/>
        <w:rPr/>
      </w:pPr>
      <w:r>
        <w:rPr>
          <w:rStyle w:val="Emphasis"/>
          <w:i w:val="false"/>
          <w:iCs w:val="false"/>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rStyle w:val="Emphasis"/>
          <w:i w:val="false"/>
          <w:shd w:fill="EEEEEE" w:val="clear"/>
          <w:lang w:val="de-DE"/>
        </w:rPr>
        <w:t xml:space="preserve"> </w:t>
      </w:r>
      <w:r>
        <w:rPr>
          <w:rStyle w:val="Emphasis"/>
          <w:i w:val="false"/>
          <w:iCs w:val="false"/>
          <w:shd w:fill="EEEEEE" w:val="clear"/>
          <w:lang w:val="de-DE"/>
        </w:rPr>
        <w:fldChar w:fldCharType="begin"/>
      </w:r>
      <w:r>
        <w:rPr>
          <w:rStyle w:val="Emphasis"/>
          <w:i w:val="false"/>
          <w:shd w:fill="EEEEEE" w:val="clear"/>
          <w:iCs w:val="false"/>
          <w:lang w:val="de-DE"/>
        </w:rPr>
        <w:instrText xml:space="preserve"> REF _Ref179187642 \n \n \h </w:instrText>
      </w:r>
      <w:r>
        <w:rPr>
          <w:rStyle w:val="Emphasis"/>
          <w:i w:val="false"/>
          <w:shd w:fill="EEEEEE" w:val="clear"/>
          <w:iCs w:val="false"/>
          <w:lang w:val="de-DE"/>
        </w:rPr>
        <w:fldChar w:fldCharType="separate"/>
      </w:r>
      <w:r>
        <w:rPr>
          <w:rStyle w:val="Emphasis"/>
          <w:i w:val="false"/>
          <w:shd w:fill="EEEEEE" w:val="clear"/>
          <w:iCs w:val="false"/>
          <w:lang w:val="de-DE"/>
        </w:rPr>
        <w:t>A.2</w:t>
      </w:r>
      <w:r>
        <w:rPr>
          <w:rStyle w:val="Emphasis"/>
          <w:i w:val="false"/>
          <w:shd w:fill="EEEEEE" w:val="clear"/>
          <w:iCs w:val="false"/>
          <w:lang w:val="de-DE"/>
        </w:rPr>
        <w:fldChar w:fldCharType="end"/>
      </w:r>
      <w:r>
        <w:rPr>
          <w:rStyle w:val="Emphasis"/>
          <w:i w:val="false"/>
          <w:iCs w:val="false"/>
          <w:shd w:fill="EEEEEE" w:val="clear"/>
          <w:lang w:val="de-DE"/>
        </w:rPr>
        <w:t>).</w:t>
      </w:r>
    </w:p>
    <w:p>
      <w:pPr>
        <w:pStyle w:val="10000-Empfehlung"/>
        <w:rPr/>
      </w:pPr>
      <w:r>
        <w:rPr>
          <w:rStyle w:val="Emphasis"/>
          <w:i/>
          <w:shd w:fill="EEEEEE" w:val="clear"/>
          <w:lang w:val="de-DE"/>
        </w:rPr>
        <w:t>Weitere Sicherheitsmaßnahmen SOLLTEN im Zuge einer Risikoidentifikation, -analyse und -behandlung (siehe</w:t>
      </w:r>
      <w:r>
        <w:rPr>
          <w:spacing w:val="-2"/>
          <w:shd w:fill="EEEEEE" w:val="clear"/>
          <w:lang w:val="de-DE"/>
        </w:rPr>
        <w:t xml:space="preserve"> </w:t>
      </w:r>
      <w:r>
        <w:rPr>
          <w:i/>
          <w:iCs/>
          <w:spacing w:val="-2"/>
          <w:shd w:fill="EEEEEE" w:val="clear"/>
          <w:lang w:val="de-DE"/>
        </w:rPr>
        <w:t>Anhang</w:t>
      </w:r>
      <w:r>
        <w:rPr>
          <w:rStyle w:val="Emphasis"/>
          <w:i/>
          <w:shd w:fill="EEEEEE" w:val="clear"/>
          <w:lang w:val="de-DE"/>
        </w:rPr>
        <w:t xml:space="preserve"> </w:t>
      </w:r>
      <w:r>
        <w:rPr>
          <w:rStyle w:val="Emphasis"/>
          <w:i/>
          <w:shd w:fill="EEEEEE" w:val="clear"/>
          <w:lang w:val="de-DE"/>
        </w:rPr>
        <w:fldChar w:fldCharType="begin"/>
      </w:r>
      <w:r>
        <w:rPr>
          <w:rStyle w:val="Emphasis"/>
          <w:i/>
          <w:shd w:fill="EEEEEE" w:val="clear"/>
          <w:lang w:val="de-DE"/>
        </w:rPr>
        <w:instrText xml:space="preserve"> REF _Ref179187652 \n \n \h </w:instrText>
      </w:r>
      <w:r>
        <w:rPr>
          <w:rStyle w:val="Emphasis"/>
          <w:i/>
          <w:shd w:fill="EEEEEE" w:val="clear"/>
          <w:lang w:val="de-DE"/>
        </w:rPr>
        <w:fldChar w:fldCharType="separate"/>
      </w:r>
      <w:r>
        <w:rPr>
          <w:rStyle w:val="Emphasis"/>
          <w:i/>
          <w:shd w:fill="EEEEEE" w:val="clear"/>
          <w:lang w:val="de-DE"/>
        </w:rPr>
        <w:t>A.2</w:t>
      </w:r>
      <w:r>
        <w:rPr>
          <w:rStyle w:val="Emphasis"/>
          <w:i/>
          <w:shd w:fill="EEEEEE" w:val="clear"/>
          <w:lang w:val="de-DE"/>
        </w:rPr>
        <w:fldChar w:fldCharType="end"/>
      </w:r>
      <w:r>
        <w:rPr>
          <w:rStyle w:val="Emphasis"/>
          <w:i/>
          <w:shd w:fill="EEEEEE" w:val="clear"/>
          <w:lang w:val="de-DE"/>
        </w:rPr>
        <w:t>) ermittelt und umgesetzt werden.</w:t>
      </w:r>
    </w:p>
    <w:p>
      <w:pPr>
        <w:pStyle w:val="10000-DefaultParagraph"/>
        <w:rPr>
          <w:highlight w:val="none"/>
          <w:shd w:fill="EEEEEE" w:val="clear"/>
        </w:rPr>
      </w:pPr>
      <w:r>
        <w:rPr>
          <w:shd w:fill="EEEEEE" w:val="clea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1"/>
        </w:numPr>
        <w:rPr/>
      </w:pPr>
      <w:r>
        <w:rPr>
          <w:i w:val="false"/>
          <w:iCs w:val="false"/>
          <w:color w:val="000000"/>
          <w:shd w:fill="EEEEEE" w:val="clear"/>
          <w:lang w:val="de-DE"/>
        </w:rPr>
        <w:t>Für die sicherheitsrelevanten Einstellungen</w:t>
      </w:r>
      <w:r>
        <w:rPr>
          <w:rStyle w:val="VdSListe1Zchn"/>
          <w:i w:val="false"/>
          <w:iCs w:val="false"/>
          <w:color w:val="000000"/>
          <w:shd w:fill="EEEEEE" w:val="clear"/>
          <w:lang w:val="de-DE"/>
        </w:rPr>
        <w:t xml:space="preserve"> sind folgende Punkte dokumentiert:</w:t>
      </w:r>
    </w:p>
    <w:p>
      <w:pPr>
        <w:pStyle w:val="10000-DefaultParagraph"/>
        <w:widowControl/>
        <w:numPr>
          <w:ilvl w:val="1"/>
          <w:numId w:val="392"/>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Wer hat sie implementiert?</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Wann wurden sie implementiert?</w:t>
      </w:r>
    </w:p>
    <w:p>
      <w:pPr>
        <w:pStyle w:val="10000-DefaultParagraph"/>
        <w:widowControl/>
        <w:numPr>
          <w:ilvl w:val="1"/>
          <w:numId w:val="394"/>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Was bewirken sie?</w:t>
      </w:r>
    </w:p>
    <w:p>
      <w:pPr>
        <w:pStyle w:val="10000-DefaultParagraph"/>
        <w:widowControl/>
        <w:numPr>
          <w:ilvl w:val="1"/>
          <w:numId w:val="395"/>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Warum werden sie benötigt?</w:t>
      </w:r>
    </w:p>
    <w:p>
      <w:pPr>
        <w:pStyle w:val="10000-DefaultParagraph"/>
        <w:numPr>
          <w:ilvl w:val="0"/>
          <w:numId w:val="396"/>
        </w:numPr>
        <w:rPr/>
      </w:pPr>
      <w:r>
        <w:rPr>
          <w:rStyle w:val="VdSListe1Zchn"/>
          <w:i w:val="false"/>
          <w:iCs w:val="false"/>
          <w:color w:val="000000"/>
          <w:shd w:fill="EEEEEE" w:val="clear"/>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highlight w:val="none"/>
          <w:shd w:fill="EEEEEE" w:val="clear"/>
        </w:rPr>
      </w:pPr>
      <w:bookmarkStart w:id="679" w:name="__RefHeading___Toc32050_2021121348"/>
      <w:bookmarkStart w:id="680" w:name="_Toc530662947"/>
      <w:bookmarkStart w:id="681" w:name="_Toc187327110"/>
      <w:bookmarkStart w:id="682" w:name="_Toc178761380"/>
      <w:bookmarkStart w:id="683" w:name="_Toc178588091"/>
      <w:bookmarkStart w:id="684" w:name="_Toc531165082"/>
      <w:bookmarkStart w:id="685" w:name="basisschutz1"/>
      <w:bookmarkStart w:id="686" w:name="rl%252525252525252525252525252525252521x"/>
      <w:bookmarkEnd w:id="679"/>
      <w:bookmarkEnd w:id="686"/>
      <w:r>
        <w:rPr>
          <w:shd w:fill="EEEEEE" w:val="clear"/>
          <w:lang w:val="de-DE"/>
        </w:rPr>
        <w:t>Basisschutz</w:t>
      </w:r>
      <w:bookmarkEnd w:id="680"/>
      <w:bookmarkEnd w:id="681"/>
      <w:bookmarkEnd w:id="682"/>
      <w:bookmarkEnd w:id="683"/>
      <w:bookmarkEnd w:id="684"/>
      <w:bookmarkEnd w:id="685"/>
    </w:p>
    <w:p>
      <w:pPr>
        <w:pStyle w:val="Heading3"/>
        <w:ind w:hanging="0" w:left="0"/>
        <w:rPr>
          <w:highlight w:val="none"/>
          <w:shd w:fill="EEEEEE" w:val="clear"/>
        </w:rPr>
      </w:pPr>
      <w:bookmarkStart w:id="687" w:name="__RefHeading___Toc32052_2021121348"/>
      <w:bookmarkStart w:id="688" w:name="_Toc187327111"/>
      <w:bookmarkEnd w:id="687"/>
      <w:r>
        <w:rPr>
          <w:shd w:fill="EEEEEE" w:val="clear"/>
          <w:lang w:val="de-DE"/>
        </w:rPr>
        <w:t>Grundanforderungen</w:t>
      </w:r>
      <w:bookmarkEnd w:id="688"/>
    </w:p>
    <w:p>
      <w:pPr>
        <w:pStyle w:val="10000-DefaultParagraph"/>
        <w:rPr>
          <w:highlight w:val="none"/>
          <w:shd w:fill="EEEEEE" w:val="clear"/>
        </w:rPr>
      </w:pPr>
      <w:r>
        <w:rPr>
          <w:shd w:fill="EEEEEE" w:val="clear"/>
          <w:lang w:val="de-DE"/>
        </w:rPr>
        <w:t>Die Maßnahmen der folgenden Abschnitte MÜSSEN, sofern eine entsprechende Funktionalität gegeben ist, für alle Netzwerke implementiert werden.</w:t>
      </w:r>
    </w:p>
    <w:p>
      <w:pPr>
        <w:pStyle w:val="10000-Empfehlung"/>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_Ref179187788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_Ref179187798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highlight w:val="none"/>
          <w:shd w:fill="EEEEEE" w:val="clear"/>
        </w:rPr>
      </w:pPr>
      <w:bookmarkStart w:id="689" w:name="__RefHeading___netzwerkanschluesse_81"/>
      <w:bookmarkStart w:id="690" w:name="_Toc530662948"/>
      <w:bookmarkStart w:id="691" w:name="_Toc187327112"/>
      <w:bookmarkStart w:id="692" w:name="_Toc531165083"/>
      <w:bookmarkStart w:id="693" w:name="_Toc178761381"/>
      <w:bookmarkStart w:id="694" w:name="rl%252525252525252525252525252525252521y"/>
      <w:bookmarkStart w:id="695" w:name="netzwerkanschluesse"/>
      <w:bookmarkEnd w:id="689"/>
      <w:bookmarkEnd w:id="694"/>
      <w:r>
        <w:rPr>
          <w:shd w:fill="EEEEEE" w:val="clear"/>
          <w:lang w:val="de-DE"/>
        </w:rPr>
        <w:t>Netzwerkanschlüsse</w:t>
      </w:r>
      <w:bookmarkEnd w:id="690"/>
      <w:bookmarkEnd w:id="691"/>
      <w:bookmarkEnd w:id="692"/>
      <w:bookmarkEnd w:id="693"/>
      <w:bookmarkEnd w:id="695"/>
    </w:p>
    <w:p>
      <w:pPr>
        <w:pStyle w:val="Normal"/>
        <w:rPr>
          <w:highlight w:val="none"/>
          <w:shd w:fill="EEEEEE" w:val="clear"/>
        </w:rPr>
      </w:pPr>
      <w:r>
        <w:rPr>
          <w:shd w:fill="EEEEEE" w:val="clear"/>
        </w:rPr>
        <w:t>Dauerhaft nicht genutzte Netzwerkanschlüsse MÜSSEN vor unberechtigter Nutzung gesichert werden.</w:t>
      </w:r>
    </w:p>
    <w:p>
      <w:pPr>
        <w:pStyle w:val="Normal"/>
        <w:rPr/>
      </w:pPr>
      <w:r>
        <w:rPr>
          <w:rStyle w:val="Emphasis"/>
          <w:shd w:fill="EEEEEE" w:val="clear"/>
          <w:lang w:val="de-DE"/>
        </w:rPr>
        <w:t>Dies KANN z. B. durch eine Zutrittsbeschränkung, eine Deaktivierung der Netzwerk</w:t>
        <w:softHyphen/>
        <w:t>anschlüsse oder durch eine Netzwerkzugangskontrolle geschehen.</w:t>
      </w:r>
    </w:p>
    <w:p>
      <w:pPr>
        <w:pStyle w:val="Heading3"/>
        <w:ind w:hanging="0" w:left="0"/>
        <w:rPr>
          <w:highlight w:val="none"/>
          <w:shd w:fill="EEEEEE" w:val="clear"/>
        </w:rPr>
      </w:pPr>
      <w:bookmarkStart w:id="696" w:name="__RefHeading___segmentierung_82"/>
      <w:bookmarkStart w:id="697" w:name="rl%252525252525252525252525252525252521z"/>
      <w:bookmarkStart w:id="698" w:name="_Toc531165084"/>
      <w:bookmarkStart w:id="699" w:name="_Toc530662949"/>
      <w:bookmarkStart w:id="700" w:name="_Toc187327113"/>
      <w:bookmarkStart w:id="701" w:name="_Toc178761382"/>
      <w:bookmarkStart w:id="702" w:name="_Ref184204610"/>
      <w:bookmarkStart w:id="703" w:name="segmentierung"/>
      <w:bookmarkEnd w:id="696"/>
      <w:bookmarkEnd w:id="697"/>
      <w:r>
        <w:rPr>
          <w:shd w:fill="EEEEEE" w:val="clear"/>
          <w:lang w:val="de-DE"/>
        </w:rPr>
        <w:t>Segmentierung</w:t>
      </w:r>
      <w:bookmarkEnd w:id="698"/>
      <w:bookmarkEnd w:id="699"/>
      <w:bookmarkEnd w:id="700"/>
      <w:bookmarkEnd w:id="701"/>
      <w:bookmarkEnd w:id="702"/>
      <w:bookmarkEnd w:id="703"/>
    </w:p>
    <w:p>
      <w:pPr>
        <w:pStyle w:val="Normal"/>
        <w:rPr>
          <w:highlight w:val="none"/>
          <w:shd w:fill="EEEEEE" w:val="clear"/>
        </w:rPr>
      </w:pPr>
      <w:r>
        <w:rPr>
          <w:shd w:fill="EEEEEE" w:val="clear"/>
        </w:rPr>
        <w:t>Es MÜSSEN Kriterien definiert werden, anhand derer die Netzwerke in einzelne Sicherheitszonen unterteilt werden (Segmentierung).</w:t>
      </w:r>
    </w:p>
    <w:p>
      <w:pPr>
        <w:pStyle w:val="Normal"/>
        <w:rPr/>
      </w:pPr>
      <w:r>
        <w:rPr>
          <w:shd w:fill="EEEEEE" w:val="clear"/>
          <w:lang w:val="de-DE"/>
        </w:rPr>
        <w:t>Die Umsetzung der Segmentierung MUSS eine möglichst umfassende Beschränkung der Verbindungen sowie die Möglichkeit der Protokollierung von blockierten Verbindungen beinhalten.</w:t>
      </w:r>
    </w:p>
    <w:p>
      <w:pPr>
        <w:pStyle w:val="Heading3"/>
        <w:ind w:hanging="0" w:left="0"/>
        <w:rPr>
          <w:highlight w:val="none"/>
          <w:shd w:fill="EEEEEE" w:val="clear"/>
        </w:rPr>
      </w:pPr>
      <w:bookmarkStart w:id="704" w:name="__RefHeading___fernzugriff_83"/>
      <w:bookmarkStart w:id="705" w:name="_Toc178761383"/>
      <w:bookmarkStart w:id="706" w:name="_Toc530662950"/>
      <w:bookmarkStart w:id="707" w:name="_Toc531165085"/>
      <w:bookmarkStart w:id="708" w:name="_Toc187327114"/>
      <w:bookmarkStart w:id="709" w:name="_Ref179187517"/>
      <w:bookmarkStart w:id="710" w:name="_Ref184204619"/>
      <w:bookmarkStart w:id="711" w:name="rl%2525252525252525252525252525252525220"/>
      <w:bookmarkEnd w:id="704"/>
      <w:bookmarkEnd w:id="711"/>
      <w:r>
        <w:rPr>
          <w:shd w:fill="EEEEEE" w:val="clear"/>
          <w:lang w:val="de-DE"/>
        </w:rPr>
        <w:t>Fernzugang</w:t>
      </w:r>
      <w:bookmarkEnd w:id="705"/>
      <w:bookmarkEnd w:id="706"/>
      <w:bookmarkEnd w:id="707"/>
      <w:bookmarkEnd w:id="708"/>
      <w:bookmarkEnd w:id="709"/>
      <w:bookmarkEnd w:id="710"/>
    </w:p>
    <w:p>
      <w:pPr>
        <w:pStyle w:val="10000-DefaultParagraph"/>
        <w:rPr>
          <w:highlight w:val="none"/>
          <w:shd w:fill="EEEEEE" w:val="clear"/>
        </w:rPr>
      </w:pPr>
      <w:r>
        <w:rPr>
          <w:shd w:fill="EEEEEE" w:val="clear"/>
          <w:lang w:val="de-DE"/>
        </w:rPr>
        <w:t>Der Zugang zu nichtöffentlichen Bereichen von IT-Systemen über weniger oder nicht vertrauenswürdige Netzwerke MUSS abgesichert werden.</w:t>
      </w:r>
    </w:p>
    <w:p>
      <w:pPr>
        <w:pStyle w:val="10000-DefaultParagraph"/>
        <w:rPr>
          <w:highlight w:val="none"/>
          <w:shd w:fill="EEEEEE" w:val="clear"/>
        </w:rPr>
      </w:pPr>
      <w:r>
        <w:rPr>
          <w:shd w:fill="EEEEEE" w:val="clear"/>
          <w:lang w:val="de-DE"/>
        </w:rPr>
        <w:t>Dabei MÜSSEN folgende Anforderungen erfüllt werden:</w:t>
      </w:r>
    </w:p>
    <w:p>
      <w:pPr>
        <w:pStyle w:val="10000-DefaultParagraph"/>
        <w:numPr>
          <w:ilvl w:val="0"/>
          <w:numId w:val="397"/>
        </w:numPr>
        <w:rPr>
          <w:highlight w:val="none"/>
          <w:shd w:fill="EEEEEE" w:val="clear"/>
        </w:rPr>
      </w:pPr>
      <w:r>
        <w:rPr>
          <w:shd w:fill="EEEEEE" w:val="clea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98"/>
        </w:numPr>
        <w:rPr>
          <w:highlight w:val="none"/>
          <w:shd w:fill="EEEEEE" w:val="clear"/>
        </w:rPr>
      </w:pPr>
      <w:r>
        <w:rPr>
          <w:shd w:fill="EEEEEE" w:val="clear"/>
          <w:lang w:val="de-DE"/>
        </w:rPr>
        <w:t>Der Zugang wird so gestaltet, dass über ihn nur IT-Systeme erreichbar sind, die der jeweilige Nutzer für seine Aufgabenerfüllung benötigt.</w:t>
      </w:r>
    </w:p>
    <w:p>
      <w:pPr>
        <w:pStyle w:val="10000-DefaultParagraph"/>
        <w:numPr>
          <w:ilvl w:val="0"/>
          <w:numId w:val="399"/>
        </w:numPr>
        <w:rPr>
          <w:lang w:val="de-DE"/>
        </w:rPr>
      </w:pPr>
      <w:r>
        <w:rPr>
          <w:shd w:fill="EEEEEE" w:val="clea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shd w:fill="EEEEEE" w:val="clear"/>
          <w:lang w:val="de-DE"/>
        </w:rPr>
        <w:t>authentifiziert, um die Gefahr eines unberechtigten Zugangs zu verringern.</w:t>
      </w:r>
    </w:p>
    <w:p>
      <w:pPr>
        <w:pStyle w:val="10000-Empfehlung"/>
        <w:rPr/>
      </w:pPr>
      <w:r>
        <w:rPr>
          <w:rStyle w:val="Emphasis"/>
          <w:i/>
          <w:shd w:fill="EEEEEE" w:val="clear"/>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highlight w:val="none"/>
          <w:shd w:fill="EEEEEE" w:val="clear"/>
        </w:rPr>
      </w:pPr>
      <w:bookmarkStart w:id="712" w:name="__RefHeading___netzwerkkopplung_84"/>
      <w:bookmarkStart w:id="713" w:name="_Toc187327115"/>
      <w:bookmarkStart w:id="714" w:name="_Toc178761384"/>
      <w:bookmarkStart w:id="715" w:name="rl%2525252525252525252525252525252525221"/>
      <w:bookmarkStart w:id="716" w:name="_Toc530662951"/>
      <w:bookmarkStart w:id="717" w:name="netzwerkkopplung"/>
      <w:bookmarkStart w:id="718" w:name="_Toc531165086"/>
      <w:bookmarkEnd w:id="712"/>
      <w:bookmarkEnd w:id="715"/>
      <w:r>
        <w:rPr>
          <w:shd w:fill="EEEEEE" w:val="clear"/>
          <w:lang w:val="de-DE"/>
        </w:rPr>
        <w:t>Netzwerkkopplung</w:t>
      </w:r>
      <w:bookmarkEnd w:id="713"/>
      <w:bookmarkEnd w:id="714"/>
      <w:bookmarkEnd w:id="716"/>
      <w:bookmarkEnd w:id="717"/>
      <w:bookmarkEnd w:id="718"/>
    </w:p>
    <w:p>
      <w:pPr>
        <w:pStyle w:val="10000-DefaultParagraph"/>
        <w:rPr>
          <w:highlight w:val="none"/>
          <w:shd w:fill="EEEEEE" w:val="clear"/>
        </w:rPr>
      </w:pPr>
      <w:r>
        <w:rPr>
          <w:shd w:fill="EEEEEE" w:val="clear"/>
          <w:lang w:val="de-DE"/>
        </w:rPr>
        <w:t>Die Kopplung von Netzwerken der Organisation über weniger oder nicht vertrauenswürdige Netzwerke hinweg MUSS abgesichert werden.</w:t>
      </w:r>
    </w:p>
    <w:p>
      <w:pPr>
        <w:pStyle w:val="10000-DefaultParagraph"/>
        <w:rPr>
          <w:highlight w:val="none"/>
          <w:shd w:fill="EEEEEE" w:val="clear"/>
        </w:rPr>
      </w:pPr>
      <w:r>
        <w:rPr>
          <w:shd w:fill="EEEEEE" w:val="clea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9" w:name="__RefHeading___Toc32054_2021121348"/>
      <w:bookmarkStart w:id="720" w:name="rl%2525252525252525252525252525252525222"/>
      <w:bookmarkStart w:id="721" w:name="_Toc178761385"/>
      <w:bookmarkStart w:id="722" w:name="_Toc530662952"/>
      <w:bookmarkStart w:id="723" w:name="_Toc178588092"/>
      <w:bookmarkStart w:id="724" w:name="zusaetzliche_massnahmen_fuer_kritische_v"/>
      <w:bookmarkStart w:id="725" w:name="_Toc187327116"/>
      <w:bookmarkStart w:id="726" w:name="_Toc531165087"/>
      <w:bookmarkEnd w:id="719"/>
      <w:bookmarkEnd w:id="720"/>
      <w:r>
        <w:rPr>
          <w:lang w:val="de-DE"/>
        </w:rPr>
        <w:t>Zusätzliche Maßnahmen für wichtige Verbindungen</w:t>
      </w:r>
      <w:bookmarkEnd w:id="721"/>
      <w:bookmarkEnd w:id="722"/>
      <w:bookmarkEnd w:id="723"/>
      <w:bookmarkEnd w:id="724"/>
      <w:bookmarkEnd w:id="725"/>
      <w:bookmarkEnd w:id="726"/>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highlight w:val="none"/>
          <w:shd w:fill="EEEEEE" w:val="clear"/>
        </w:rPr>
      </w:pPr>
      <w:bookmarkStart w:id="727" w:name="__RefHeading___Toc32056_2021121348"/>
      <w:bookmarkStart w:id="728" w:name="rl%2525252525252525252525252525252525223"/>
      <w:bookmarkStart w:id="729" w:name="_Toc187327117"/>
      <w:bookmarkStart w:id="730" w:name="_Toc530662953"/>
      <w:bookmarkStart w:id="731" w:name="_Toc178588093"/>
      <w:bookmarkStart w:id="732" w:name="_Toc531165088"/>
      <w:bookmarkStart w:id="733" w:name="_Ref178761888"/>
      <w:bookmarkStart w:id="734" w:name="_Toc178761386"/>
      <w:bookmarkStart w:id="735" w:name="mobile_datentraeger"/>
      <w:bookmarkEnd w:id="727"/>
      <w:bookmarkEnd w:id="728"/>
      <w:r>
        <w:rPr>
          <w:shd w:fill="EEEEEE" w:val="clear"/>
          <w:lang w:val="de-DE"/>
        </w:rPr>
        <w:t>Mobile Datenträger</w:t>
      </w:r>
      <w:bookmarkEnd w:id="729"/>
      <w:bookmarkEnd w:id="730"/>
      <w:bookmarkEnd w:id="731"/>
      <w:bookmarkEnd w:id="732"/>
      <w:bookmarkEnd w:id="733"/>
      <w:bookmarkEnd w:id="734"/>
      <w:bookmarkEnd w:id="735"/>
    </w:p>
    <w:p>
      <w:pPr>
        <w:pStyle w:val="Heading2"/>
        <w:ind w:hanging="0" w:left="0"/>
        <w:rPr>
          <w:highlight w:val="none"/>
          <w:shd w:fill="EEEEEE" w:val="clear"/>
        </w:rPr>
      </w:pPr>
      <w:bookmarkStart w:id="736" w:name="__RefHeading___Toc32058_2021121348"/>
      <w:bookmarkStart w:id="737" w:name="_Toc187327118"/>
      <w:bookmarkEnd w:id="736"/>
      <w:r>
        <w:rPr>
          <w:shd w:fill="EEEEEE" w:val="clear"/>
          <w:lang w:val="de-DE"/>
        </w:rPr>
        <w:t>Grundlagen</w:t>
      </w:r>
      <w:bookmarkEnd w:id="737"/>
    </w:p>
    <w:p>
      <w:pPr>
        <w:pStyle w:val="10000-DefaultParagraph"/>
        <w:rPr>
          <w:highlight w:val="none"/>
          <w:shd w:fill="EEEEEE" w:val="clear"/>
        </w:rPr>
      </w:pPr>
      <w:r>
        <w:rPr>
          <w:shd w:fill="EEEEEE" w:val="clear"/>
          <w:lang w:val="de-DE"/>
        </w:rPr>
        <w:t>Mobile Datenträger sind aufgrund ihrer exponierten Nutzungsart besonders gefährdet. Die damit verbundenen Risiken sind angemessen zu behandeln.</w:t>
      </w:r>
    </w:p>
    <w:p>
      <w:pPr>
        <w:pStyle w:val="Heading2"/>
        <w:ind w:hanging="0" w:left="0"/>
        <w:rPr>
          <w:highlight w:val="none"/>
          <w:shd w:fill="EEEEEE" w:val="clear"/>
        </w:rPr>
      </w:pPr>
      <w:bookmarkStart w:id="738" w:name="__RefHeading___Toc32060_2021121348"/>
      <w:bookmarkStart w:id="739" w:name="is-richtlinie1"/>
      <w:bookmarkStart w:id="740" w:name="_Toc530662954"/>
      <w:bookmarkStart w:id="741" w:name="_Toc178588094"/>
      <w:bookmarkStart w:id="742" w:name="_Toc531165089"/>
      <w:bookmarkStart w:id="743" w:name="_Toc187327119"/>
      <w:bookmarkStart w:id="744" w:name="_Toc178761387"/>
      <w:bookmarkStart w:id="745" w:name="rl%2525252525252525252525252525252525224"/>
      <w:bookmarkEnd w:id="738"/>
      <w:bookmarkEnd w:id="745"/>
      <w:r>
        <w:rPr>
          <w:shd w:fill="EEEEEE" w:val="clear"/>
          <w:lang w:val="de-DE"/>
        </w:rPr>
        <w:t>IS-Richtlinie</w:t>
      </w:r>
      <w:bookmarkEnd w:id="739"/>
      <w:bookmarkEnd w:id="740"/>
      <w:bookmarkEnd w:id="741"/>
      <w:bookmarkEnd w:id="742"/>
      <w:bookmarkEnd w:id="743"/>
      <w:bookmarkEnd w:id="744"/>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_Ref179187911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Datenträgern die folgenden Maßnahmen umgesetzt werden:</w:t>
      </w:r>
    </w:p>
    <w:p>
      <w:pPr>
        <w:pStyle w:val="Liste1"/>
        <w:numPr>
          <w:ilvl w:val="0"/>
          <w:numId w:val="400"/>
        </w:numPr>
        <w:spacing w:lineRule="auto" w:line="250"/>
        <w:rPr>
          <w:highlight w:val="none"/>
          <w:shd w:fill="EEEEEE" w:val="clear"/>
        </w:rPr>
      </w:pPr>
      <w:r>
        <w:rPr>
          <w:shd w:fill="EEEEEE" w:val="clear"/>
        </w:rPr>
        <w:t>Es wird festgelegt, welche Informationen der Organisation auf mobilen Datenträgern gespeichert werden dürfen.</w:t>
      </w:r>
    </w:p>
    <w:p>
      <w:pPr>
        <w:pStyle w:val="Liste1"/>
        <w:numPr>
          <w:ilvl w:val="0"/>
          <w:numId w:val="401"/>
        </w:numPr>
        <w:spacing w:lineRule="auto" w:line="250"/>
        <w:rPr>
          <w:highlight w:val="none"/>
          <w:shd w:fill="EEEEEE" w:val="clear"/>
        </w:rPr>
      </w:pPr>
      <w:r>
        <w:rPr>
          <w:shd w:fill="EEEEEE" w:val="clear"/>
        </w:rPr>
        <w:t>Die Nutzer werden über die spezifischen Risiken mobiler Datenträger (z. B. Gefahren durch Verlust oder Diebstahl oder durch das Einschleppen von Schadsoftware) informiert und zur Ergreifung entsprechender Gegenmaßnahmen verpflichtet.</w:t>
      </w:r>
    </w:p>
    <w:p>
      <w:pPr>
        <w:pStyle w:val="Liste1"/>
        <w:numPr>
          <w:ilvl w:val="0"/>
          <w:numId w:val="402"/>
        </w:numPr>
        <w:spacing w:lineRule="auto" w:line="250"/>
        <w:rPr>
          <w:highlight w:val="none"/>
          <w:shd w:fill="EEEEEE" w:val="clear"/>
        </w:rPr>
      </w:pPr>
      <w:r>
        <w:rPr>
          <w:shd w:fill="EEEEEE" w:val="clea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46" w:name="__RefHeading___Toc32062_2021121348"/>
      <w:bookmarkStart w:id="747" w:name="_Toc178761388"/>
      <w:bookmarkStart w:id="748" w:name="_Toc187327120"/>
      <w:bookmarkStart w:id="749" w:name="_Toc530662955"/>
      <w:bookmarkStart w:id="750" w:name="zusaetzliche_massnahmen_fuer_kritische_m"/>
      <w:bookmarkStart w:id="751" w:name="rl%2525252525252525252525252525252525225"/>
      <w:bookmarkStart w:id="752" w:name="_Toc178588095"/>
      <w:bookmarkStart w:id="753" w:name="_Toc531165090"/>
      <w:bookmarkEnd w:id="746"/>
      <w:bookmarkEnd w:id="750"/>
      <w:bookmarkEnd w:id="751"/>
      <w:r>
        <w:rPr>
          <w:lang w:val="de-DE"/>
        </w:rPr>
        <w:t>Schutz der Informationen</w:t>
      </w:r>
      <w:bookmarkEnd w:id="747"/>
      <w:bookmarkEnd w:id="748"/>
      <w:bookmarkEnd w:id="749"/>
      <w:bookmarkEnd w:id="752"/>
      <w:bookmarkEnd w:id="753"/>
    </w:p>
    <w:p>
      <w:pPr>
        <w:pStyle w:val="10000-Empfehlung"/>
        <w:rPr/>
      </w:pPr>
      <w:r>
        <w:rPr>
          <w:rStyle w:val="Emphasis"/>
          <w:i w:val="false"/>
          <w:iCs w:val="false"/>
          <w:shd w:fill="auto" w:val="clear"/>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54" w:name="__RefHeading___Toc32064_2021121348"/>
      <w:bookmarkStart w:id="755" w:name="_Toc531165091"/>
      <w:bookmarkStart w:id="756" w:name="_Toc178588096"/>
      <w:bookmarkStart w:id="757" w:name="_Toc187327121"/>
      <w:bookmarkStart w:id="758" w:name="_Toc178761389"/>
      <w:bookmarkStart w:id="759" w:name="_Toc530662956"/>
      <w:bookmarkStart w:id="760" w:name="zusaetzliche_massnahmen_fuer_kritische_1"/>
      <w:bookmarkEnd w:id="754"/>
      <w:bookmarkEnd w:id="760"/>
      <w:r>
        <w:rPr>
          <w:lang w:val="de-DE"/>
        </w:rPr>
        <w:t>Zusätzliche Maßnahmen für wichtige mobile Datenträger</w:t>
      </w:r>
      <w:bookmarkEnd w:id="755"/>
      <w:bookmarkEnd w:id="756"/>
      <w:bookmarkEnd w:id="757"/>
      <w:bookmarkEnd w:id="758"/>
      <w:bookmarkEnd w:id="759"/>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highlight w:val="none"/>
          <w:shd w:fill="EEEEEE" w:val="clear"/>
        </w:rPr>
      </w:pPr>
      <w:bookmarkStart w:id="761" w:name="__RefHeading___Toc32066_2021121348"/>
      <w:bookmarkStart w:id="762" w:name="_Toc531165092"/>
      <w:bookmarkStart w:id="763" w:name="_Toc178761390"/>
      <w:bookmarkStart w:id="764" w:name="_Toc178588097"/>
      <w:bookmarkStart w:id="765" w:name="_Toc530662957"/>
      <w:bookmarkStart w:id="766" w:name="_Toc187327122"/>
      <w:bookmarkStart w:id="767" w:name="umgebung"/>
      <w:bookmarkStart w:id="768" w:name="rl%2525252525252525252525252525252525226"/>
      <w:bookmarkEnd w:id="761"/>
      <w:bookmarkEnd w:id="768"/>
      <w:r>
        <w:rPr>
          <w:shd w:fill="EEEEEE" w:val="clear"/>
          <w:lang w:val="de-DE"/>
        </w:rPr>
        <w:t>Umgebung</w:t>
      </w:r>
      <w:bookmarkEnd w:id="762"/>
      <w:bookmarkEnd w:id="763"/>
      <w:bookmarkEnd w:id="764"/>
      <w:bookmarkEnd w:id="765"/>
      <w:bookmarkEnd w:id="766"/>
      <w:bookmarkEnd w:id="767"/>
    </w:p>
    <w:p>
      <w:pPr>
        <w:pStyle w:val="Heading2"/>
        <w:ind w:hanging="0" w:left="0"/>
        <w:rPr>
          <w:highlight w:val="none"/>
          <w:shd w:fill="EEEEEE" w:val="clear"/>
        </w:rPr>
      </w:pPr>
      <w:bookmarkStart w:id="769" w:name="__RefHeading___Toc32068_2021121348"/>
      <w:bookmarkStart w:id="770" w:name="_Toc187327123"/>
      <w:bookmarkEnd w:id="769"/>
      <w:r>
        <w:rPr>
          <w:shd w:fill="EEEEEE" w:val="clear"/>
          <w:lang w:val="de-DE"/>
        </w:rPr>
        <w:t>Grundlagen</w:t>
      </w:r>
      <w:bookmarkEnd w:id="770"/>
    </w:p>
    <w:p>
      <w:pPr>
        <w:pStyle w:val="Normal"/>
        <w:rPr>
          <w:highlight w:val="none"/>
          <w:shd w:fill="EEEEEE" w:val="clear"/>
        </w:rPr>
      </w:pPr>
      <w:r>
        <w:rPr>
          <w:shd w:fill="EEEEEE" w:val="clear"/>
        </w:rPr>
        <w:t>Die Organisation MUSS ihre IT-Systeme und Datenleitungen gegen negative Umwelteinflüsse absichern.</w:t>
      </w:r>
    </w:p>
    <w:p>
      <w:pPr>
        <w:pStyle w:val="Normal"/>
        <w:rPr/>
      </w:pPr>
      <w:r>
        <w:rPr>
          <w:rStyle w:val="Emphasis"/>
          <w:shd w:fill="EEEEEE" w:val="clear"/>
        </w:rPr>
        <w:t>Dies SOLLTE auf Basis eines anerkannten Standards, wie z. B. VdS 2007 erfolgen.</w:t>
      </w:r>
    </w:p>
    <w:p>
      <w:pPr>
        <w:pStyle w:val="Normal"/>
        <w:rPr>
          <w:highlight w:val="none"/>
          <w:shd w:fill="EEEEEE" w:val="clear"/>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_Ref179187958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rPr>
      </w:pPr>
      <w:bookmarkStart w:id="771" w:name="__RefHeading___Toc32070_2021121348"/>
      <w:bookmarkStart w:id="772" w:name="_Toc178588098"/>
      <w:bookmarkStart w:id="773" w:name="_Toc531165093"/>
      <w:bookmarkStart w:id="774" w:name="server_aktive_netzwerkkomponenten_und_ne"/>
      <w:bookmarkStart w:id="775" w:name="_Toc530662958"/>
      <w:bookmarkStart w:id="776" w:name="_Toc187327124"/>
      <w:bookmarkStart w:id="777" w:name="_Toc178761391"/>
      <w:bookmarkStart w:id="778" w:name="rl%2525252525252525252525252525252525227"/>
      <w:bookmarkEnd w:id="771"/>
      <w:bookmarkEnd w:id="778"/>
      <w:r>
        <w:rPr>
          <w:shd w:fill="EEEEEE" w:val="clear"/>
          <w:lang w:val="de-DE"/>
        </w:rPr>
        <w:t>Server, aktive Netzwerkkomponenten und Netzwerkverteilstellen</w:t>
      </w:r>
      <w:bookmarkEnd w:id="772"/>
      <w:bookmarkEnd w:id="773"/>
      <w:bookmarkEnd w:id="774"/>
      <w:bookmarkEnd w:id="775"/>
      <w:bookmarkEnd w:id="776"/>
      <w:bookmarkEnd w:id="777"/>
    </w:p>
    <w:p>
      <w:pPr>
        <w:pStyle w:val="Normal"/>
        <w:rPr>
          <w:highlight w:val="none"/>
          <w:shd w:fill="EEEEEE" w:val="clear"/>
        </w:rPr>
      </w:pPr>
      <w:r>
        <w:rPr>
          <w:shd w:fill="EEEEEE" w:val="clear"/>
        </w:rPr>
        <w:t>Server, aktive Netzwerkkomponenten und Netzwerkverteilstellen (z. B. Patchfelder) MÜSSEN vor Beschädigung und unberechtigtem Zutritt geschützt werden.</w:t>
      </w:r>
    </w:p>
    <w:p>
      <w:pPr>
        <w:pStyle w:val="Normal"/>
        <w:rPr/>
      </w:pPr>
      <w:r>
        <w:rPr>
          <w:rStyle w:val="Emphasis"/>
          <w:shd w:fill="EEEEEE" w:val="clear"/>
        </w:rPr>
        <w:t>Dies KANN z. B. durch bauliche Maßnahmen (Serverraum) oder durch abschließbare Schränke (Server- oder Netzwerkschränke) umgesetzt werden.</w:t>
      </w:r>
    </w:p>
    <w:p>
      <w:pPr>
        <w:pStyle w:val="Normal"/>
        <w:rPr/>
      </w:pPr>
      <w:r>
        <w:rPr>
          <w:rStyle w:val="Emphasis"/>
          <w:shd w:fill="EEEEEE" w:val="clear"/>
        </w:rPr>
        <w:t>Zusätzlich SOLLTEN folgende Bedrohungen bewertet und behandelt werden:</w:t>
      </w:r>
    </w:p>
    <w:p>
      <w:pPr>
        <w:pStyle w:val="Liste1"/>
        <w:numPr>
          <w:ilvl w:val="0"/>
          <w:numId w:val="403"/>
        </w:numPr>
        <w:spacing w:lineRule="auto" w:line="250"/>
        <w:rPr/>
      </w:pPr>
      <w:r>
        <w:rPr>
          <w:rStyle w:val="Emphasis"/>
          <w:shd w:fill="EEEEEE" w:val="clear"/>
        </w:rPr>
        <w:t>ungeeignete Umgebungsbedingungen (wie z. B. ungeeignete Temperatur oder Luft</w:t>
        <w:softHyphen/>
        <w:t>feuchtigkeit, Staub oder Rauch)</w:t>
      </w:r>
    </w:p>
    <w:p>
      <w:pPr>
        <w:pStyle w:val="Liste1"/>
        <w:numPr>
          <w:ilvl w:val="0"/>
          <w:numId w:val="404"/>
        </w:numPr>
        <w:spacing w:lineRule="auto" w:line="250"/>
        <w:rPr/>
      </w:pPr>
      <w:r>
        <w:rPr>
          <w:rStyle w:val="Emphasis"/>
          <w:shd w:fill="EEEEEE" w:val="clear"/>
        </w:rPr>
        <w:t>negative Umwelteinflüsse (wie z. B. Feuer, Wasser, Blitzschlag)</w:t>
      </w:r>
    </w:p>
    <w:p>
      <w:pPr>
        <w:pStyle w:val="Liste1"/>
        <w:numPr>
          <w:ilvl w:val="0"/>
          <w:numId w:val="405"/>
        </w:numPr>
        <w:spacing w:lineRule="auto" w:line="250"/>
        <w:rPr/>
      </w:pPr>
      <w:r>
        <w:rPr>
          <w:rStyle w:val="Emphasis"/>
          <w:shd w:fill="EEEEEE" w:val="clear"/>
        </w:rPr>
        <w:t>unzuverlässige Stromversorgung (wie z. B. Unter- oder Überspannung, Spannungs</w:t>
        <w:softHyphen/>
        <w:t>spitzen, Unterbrechung)</w:t>
      </w:r>
    </w:p>
    <w:p>
      <w:pPr>
        <w:pStyle w:val="Liste1"/>
        <w:numPr>
          <w:ilvl w:val="0"/>
          <w:numId w:val="0"/>
        </w:numPr>
        <w:spacing w:lineRule="auto" w:line="250"/>
        <w:ind w:hanging="0" w:left="360"/>
        <w:rPr/>
      </w:pPr>
      <w:r>
        <w:rPr>
          <w:rStyle w:val="Emphasis"/>
          <w:shd w:fill="EEEEEE" w:val="clear"/>
        </w:rPr>
        <w:t>Fest installierte Niederspannungsanlagen SOLLTEN gemäß gängiger Normen und Standards wie z. B. der DIN VDE 0100-Reihe errichtet sein.</w:t>
      </w:r>
    </w:p>
    <w:p>
      <w:pPr>
        <w:pStyle w:val="Liste1"/>
        <w:numPr>
          <w:ilvl w:val="0"/>
          <w:numId w:val="406"/>
        </w:numPr>
        <w:spacing w:lineRule="auto" w:line="250"/>
        <w:rPr/>
      </w:pPr>
      <w:r>
        <w:rPr>
          <w:rStyle w:val="Emphasis"/>
          <w:shd w:fill="EEEEEE" w:val="clear"/>
          <w:lang w:val="de-DE"/>
        </w:rPr>
        <w:t>Beschädigung und Verlust (z. B. durch Löschmittel, Vandalismus, Diebstahl)</w:t>
      </w:r>
    </w:p>
    <w:p>
      <w:pPr>
        <w:pStyle w:val="Heading2"/>
        <w:ind w:hanging="0" w:left="0"/>
        <w:rPr>
          <w:highlight w:val="none"/>
          <w:shd w:fill="EEEEEE" w:val="clear"/>
        </w:rPr>
      </w:pPr>
      <w:bookmarkStart w:id="779" w:name="__RefHeading___Toc32072_2021121348"/>
      <w:bookmarkStart w:id="780" w:name="_Toc178761392"/>
      <w:bookmarkStart w:id="781" w:name="_Toc530662959"/>
      <w:bookmarkStart w:id="782" w:name="_Toc531165094"/>
      <w:bookmarkStart w:id="783" w:name="datenleitungen"/>
      <w:bookmarkStart w:id="784" w:name="_Toc178588099"/>
      <w:bookmarkStart w:id="785" w:name="rl%2525252525252525252525252525252525228"/>
      <w:bookmarkStart w:id="786" w:name="_Toc187327125"/>
      <w:bookmarkEnd w:id="779"/>
      <w:bookmarkEnd w:id="785"/>
      <w:r>
        <w:rPr>
          <w:shd w:fill="EEEEEE" w:val="clear"/>
          <w:lang w:val="de-DE"/>
        </w:rPr>
        <w:t>Datenleitungen</w:t>
      </w:r>
      <w:bookmarkEnd w:id="780"/>
      <w:bookmarkEnd w:id="781"/>
      <w:bookmarkEnd w:id="782"/>
      <w:bookmarkEnd w:id="783"/>
      <w:bookmarkEnd w:id="784"/>
      <w:bookmarkEnd w:id="786"/>
    </w:p>
    <w:p>
      <w:pPr>
        <w:pStyle w:val="Normal"/>
        <w:rPr/>
      </w:pPr>
      <w:r>
        <w:rPr>
          <w:rStyle w:val="Emphasis"/>
          <w:shd w:fill="EEEEEE" w:val="clear"/>
        </w:rPr>
        <w:t>Sämtliche Datenleitungen SOLLTEN gemäß einschlägiger Normen und Standards, z. B. DIN EN 50173/4-Reihe installiert werden.</w:t>
      </w:r>
    </w:p>
    <w:p>
      <w:pPr>
        <w:pStyle w:val="Normal"/>
        <w:rPr>
          <w:highlight w:val="none"/>
          <w:shd w:fill="EEEEEE" w:val="clear"/>
        </w:rPr>
      </w:pPr>
      <w:r>
        <w:rPr>
          <w:shd w:fill="EEEEEE" w:val="clear"/>
        </w:rPr>
        <w:t>Wenn eine andere Vorgehensweise gewählt wird, MÜSSEN fest installierte Datenleitungen durch entsprechende bauliche Maßnahmen vor Beschädigung geschützt werden.</w:t>
      </w:r>
    </w:p>
    <w:p>
      <w:pPr>
        <w:pStyle w:val="Normal"/>
        <w:rPr/>
      </w:pPr>
      <w:r>
        <w:rPr>
          <w:rStyle w:val="Emphasis"/>
          <w:shd w:fill="EEEEEE" w:val="clear"/>
          <w:lang w:val="de-DE"/>
        </w:rPr>
        <w:t>Dies KANN z. B. durch das Verlegen der Datenleitungen in Kabelkanälen umgesetzt werden.</w:t>
      </w:r>
    </w:p>
    <w:p>
      <w:pPr>
        <w:pStyle w:val="Heading2"/>
        <w:ind w:hanging="0" w:left="0"/>
        <w:rPr>
          <w:lang w:val="de-DE"/>
        </w:rPr>
      </w:pPr>
      <w:bookmarkStart w:id="787" w:name="__RefHeading___Toc32074_2021121348"/>
      <w:bookmarkStart w:id="788" w:name="_Toc187327126"/>
      <w:bookmarkStart w:id="789" w:name="_Toc178588100"/>
      <w:bookmarkStart w:id="790" w:name="rl%2525252525252525252525252525252525229"/>
      <w:bookmarkStart w:id="791" w:name="_Toc178761393"/>
      <w:bookmarkStart w:id="792" w:name="_Toc531165095"/>
      <w:bookmarkStart w:id="793" w:name="_Toc530662960"/>
      <w:bookmarkEnd w:id="787"/>
      <w:bookmarkEnd w:id="790"/>
      <w:r>
        <w:rPr>
          <w:lang w:val="de-DE"/>
        </w:rPr>
        <w:t>Zusätzliche Maßnahmen für wichtige IT-Systeme</w:t>
      </w:r>
      <w:bookmarkEnd w:id="788"/>
      <w:bookmarkEnd w:id="789"/>
      <w:bookmarkEnd w:id="791"/>
      <w:bookmarkEnd w:id="792"/>
      <w:bookmarkEnd w:id="793"/>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4"/>
      </w:r>
    </w:p>
    <w:p>
      <w:pPr>
        <w:pStyle w:val="10000-DefaultParagraph"/>
        <w:numPr>
          <w:ilvl w:val="0"/>
          <w:numId w:val="407"/>
        </w:numPr>
        <w:rPr>
          <w:lang w:val="de-DE"/>
        </w:rPr>
      </w:pPr>
      <w:r>
        <w:rPr>
          <w:lang w:val="de-DE"/>
        </w:rPr>
        <w:t>ungeeignete Umgebungsbedingungen (wie z. B. ungeeignete Temperatur oder Luftfeuchtigkeit, Staub oder Rauch)</w:t>
      </w:r>
    </w:p>
    <w:p>
      <w:pPr>
        <w:pStyle w:val="10000-DefaultParagraph"/>
        <w:numPr>
          <w:ilvl w:val="0"/>
          <w:numId w:val="408"/>
        </w:numPr>
        <w:rPr>
          <w:lang w:val="de-DE"/>
        </w:rPr>
      </w:pPr>
      <w:r>
        <w:rPr>
          <w:lang w:val="de-DE"/>
        </w:rPr>
        <w:t>negative Umwelteinflüsse (wie z. B. Feuer, Wasser, Blitzschlag)</w:t>
      </w:r>
    </w:p>
    <w:p>
      <w:pPr>
        <w:pStyle w:val="10000-DefaultParagraph"/>
        <w:numPr>
          <w:ilvl w:val="0"/>
          <w:numId w:val="409"/>
        </w:numPr>
        <w:rPr>
          <w:lang w:val="de-DE"/>
        </w:rPr>
      </w:pPr>
      <w:r>
        <w:rPr>
          <w:lang w:val="de-DE"/>
        </w:rPr>
        <w:t>unzuverlässige Stromversorgung (wie z. B. Unter- oder Überspannung, Spannungsspitzen, Unterbrechung)</w:t>
      </w:r>
    </w:p>
    <w:p>
      <w:pPr>
        <w:pStyle w:val="10000-DefaultParagraph"/>
        <w:numPr>
          <w:ilvl w:val="0"/>
          <w:numId w:val="410"/>
        </w:numPr>
        <w:rPr>
          <w:lang w:val="de-DE"/>
        </w:rPr>
      </w:pPr>
      <w:r>
        <w:rPr>
          <w:lang w:val="de-DE"/>
        </w:rPr>
        <w:t>Beschädigung und Verlust (wie z. B. Löschmittel, Vandalismus, Diebstahl)</w:t>
      </w:r>
    </w:p>
    <w:p>
      <w:pPr>
        <w:pStyle w:val="10000-DefaultParagraph"/>
        <w:numPr>
          <w:ilvl w:val="0"/>
          <w:numId w:val="411"/>
        </w:numPr>
        <w:rPr>
          <w:lang w:val="de-DE"/>
        </w:rPr>
      </w:pPr>
      <w:r>
        <w:rPr>
          <w:lang w:val="de-DE"/>
        </w:rPr>
        <w:t>unautorisierter Zutritt</w:t>
      </w:r>
    </w:p>
    <w:p>
      <w:pPr>
        <w:pStyle w:val="10000-DefaultParagraph"/>
        <w:numPr>
          <w:ilvl w:val="0"/>
          <w:numId w:val="412"/>
        </w:numPr>
        <w:rPr>
          <w:lang w:val="de-DE"/>
        </w:rPr>
      </w:pPr>
      <w:r>
        <w:rPr>
          <w:lang w:val="de-DE"/>
        </w:rPr>
        <w:t>Ausspähen vertraulicher Informationen</w:t>
      </w:r>
    </w:p>
    <w:p>
      <w:pPr>
        <w:pStyle w:val="Normal"/>
        <w:numPr>
          <w:ilvl w:val="0"/>
          <w:numId w:val="413"/>
        </w:numPr>
        <w:rPr>
          <w:lang w:val="de-DE"/>
        </w:rPr>
      </w:pPr>
      <w:r>
        <w:rPr>
          <w:lang w:val="de-DE"/>
        </w:rPr>
        <w:t>Sabotage</w:t>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highlight w:val="none"/>
          <w:shd w:fill="EEEEEE" w:val="clear"/>
        </w:rPr>
      </w:pPr>
      <w:bookmarkStart w:id="794" w:name="__RefHeading___Toc32076_2021121348"/>
      <w:bookmarkStart w:id="795" w:name="_Toc531165096"/>
      <w:bookmarkStart w:id="796" w:name="_Toc178588101"/>
      <w:bookmarkStart w:id="797" w:name="rl%252525252525252525252525252525252522a"/>
      <w:bookmarkStart w:id="798" w:name="_Ref184204632"/>
      <w:bookmarkStart w:id="799" w:name="_Toc178761394"/>
      <w:bookmarkStart w:id="800" w:name="_Toc530662961"/>
      <w:bookmarkStart w:id="801" w:name="it-outsourcing_und_cloud_computing"/>
      <w:bookmarkStart w:id="802" w:name="_Toc187327127"/>
      <w:bookmarkStart w:id="803" w:name="_Ref178761914"/>
      <w:bookmarkEnd w:id="794"/>
      <w:bookmarkEnd w:id="797"/>
      <w:r>
        <w:rPr>
          <w:shd w:fill="EEEEEE" w:val="clear"/>
          <w:lang w:val="de-DE"/>
        </w:rPr>
        <w:t>IT-Outsourcing, Cloud Computing</w:t>
      </w:r>
      <w:bookmarkEnd w:id="795"/>
      <w:bookmarkEnd w:id="796"/>
      <w:bookmarkEnd w:id="798"/>
      <w:bookmarkEnd w:id="799"/>
      <w:bookmarkEnd w:id="800"/>
      <w:bookmarkEnd w:id="801"/>
      <w:bookmarkEnd w:id="802"/>
      <w:bookmarkEnd w:id="803"/>
      <w:r>
        <w:rPr>
          <w:shd w:fill="EEEEEE" w:val="clear"/>
          <w:lang w:val="de-DE"/>
        </w:rPr>
        <w:t xml:space="preserve"> und Lieferanten</w:t>
      </w:r>
    </w:p>
    <w:p>
      <w:pPr>
        <w:pStyle w:val="Heading2"/>
        <w:ind w:hanging="0" w:left="0"/>
        <w:rPr>
          <w:highlight w:val="none"/>
          <w:shd w:fill="EEEEEE" w:val="clear"/>
        </w:rPr>
      </w:pPr>
      <w:bookmarkStart w:id="804" w:name="__RefHeading___Toc32078_2021121348"/>
      <w:bookmarkStart w:id="805" w:name="_Toc187327128"/>
      <w:bookmarkEnd w:id="804"/>
      <w:r>
        <w:rPr>
          <w:shd w:fill="EEEEEE" w:val="clear"/>
          <w:lang w:val="de-DE"/>
        </w:rPr>
        <w:t>Grundlagen</w:t>
      </w:r>
      <w:bookmarkEnd w:id="805"/>
    </w:p>
    <w:p>
      <w:pPr>
        <w:pStyle w:val="10000-DefaultParagraph"/>
        <w:rPr>
          <w:highlight w:val="none"/>
          <w:shd w:fill="EEEEEE" w:val="clear"/>
        </w:rPr>
      </w:pPr>
      <w:r>
        <w:rPr>
          <w:shd w:fill="EEEEEE" w:val="clear"/>
          <w:lang w:val="de-DE"/>
        </w:rPr>
        <w:t>Wenn IT-Ressourcen ausgelagert werden, ist es notwendig, die Sicherheitsinteressen der Organisation zu berücksichtigen, um diese nicht zu kompromittieren.</w:t>
      </w:r>
    </w:p>
    <w:p>
      <w:pPr>
        <w:pStyle w:val="Heading2"/>
        <w:ind w:hanging="0" w:left="0"/>
        <w:rPr>
          <w:highlight w:val="none"/>
          <w:shd w:fill="EEEEEE" w:val="clear"/>
        </w:rPr>
      </w:pPr>
      <w:bookmarkStart w:id="806" w:name="__RefHeading___Toc32080_2021121348"/>
      <w:bookmarkStart w:id="807" w:name="_Toc530662962"/>
      <w:bookmarkStart w:id="808" w:name="rl%252525252525252525252525252525252522b"/>
      <w:bookmarkStart w:id="809" w:name="is-richtlinie2"/>
      <w:bookmarkStart w:id="810" w:name="_Toc187327129"/>
      <w:bookmarkStart w:id="811" w:name="_Toc178761395"/>
      <w:bookmarkStart w:id="812" w:name="_Toc531165097"/>
      <w:bookmarkStart w:id="813" w:name="_Toc178588102"/>
      <w:bookmarkEnd w:id="806"/>
      <w:bookmarkEnd w:id="808"/>
      <w:r>
        <w:rPr>
          <w:shd w:fill="EEEEEE" w:val="clear"/>
          <w:lang w:val="de-DE"/>
        </w:rPr>
        <w:t>IS-Richtlinie</w:t>
      </w:r>
      <w:bookmarkEnd w:id="807"/>
      <w:bookmarkEnd w:id="809"/>
      <w:bookmarkEnd w:id="810"/>
      <w:bookmarkEnd w:id="811"/>
      <w:bookmarkEnd w:id="812"/>
      <w:bookmarkEnd w:id="81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inhalte1 \n \n \h </w:instrText>
      </w:r>
      <w:r>
        <w:rPr>
          <w:shd w:fill="EEEEEE" w:val="clear"/>
          <w:lang w:val="de-DE"/>
        </w:rPr>
        <w:fldChar w:fldCharType="separate"/>
      </w:r>
      <w:r>
        <w:rPr>
          <w:shd w:fill="EEEEEE" w:val="clear"/>
          <w:lang w:val="de-DE"/>
        </w:rPr>
        <w:t>6.3</w:t>
      </w:r>
      <w:r>
        <w:rPr>
          <w:shd w:fill="EEEEEE" w:val="clear"/>
          <w:lang w:val="de-DE"/>
        </w:rPr>
        <w:fldChar w:fldCharType="end"/>
      </w:r>
      <w:r>
        <w:rPr>
          <w:shd w:fill="EEEEEE" w:val="clear"/>
          <w:lang w:val="de-DE"/>
        </w:rPr>
        <w:t xml:space="preserve"> MÜSSEN in einer IS-Richtlinie die Bedingungen, unter welchen IT-Ressourcen ausgelagert werden dürfen, festgelegt werden.</w:t>
      </w:r>
    </w:p>
    <w:p>
      <w:pPr>
        <w:pStyle w:val="Heading2"/>
        <w:ind w:hanging="0" w:left="0"/>
        <w:rPr>
          <w:lang w:val="de-DE"/>
        </w:rPr>
      </w:pPr>
      <w:bookmarkStart w:id="814" w:name="__RefHeading___Toc32082_2021121348"/>
      <w:bookmarkStart w:id="815" w:name="rl%252525252525252525252525252525252522c"/>
      <w:bookmarkStart w:id="816" w:name="_Toc531165098"/>
      <w:bookmarkStart w:id="817" w:name="_Toc530662963"/>
      <w:bookmarkStart w:id="818" w:name="_Toc178761396"/>
      <w:bookmarkStart w:id="819" w:name="_Toc178588103"/>
      <w:bookmarkStart w:id="820" w:name="_Toc187327130"/>
      <w:bookmarkStart w:id="821" w:name="del_14.1del_vorbereitung"/>
      <w:bookmarkStart w:id="822" w:name="_Ref184204641"/>
      <w:bookmarkEnd w:id="814"/>
      <w:bookmarkEnd w:id="815"/>
      <w:r>
        <w:rPr>
          <w:lang w:val="de-DE"/>
        </w:rPr>
        <w:t>Vorbereitung</w:t>
      </w:r>
      <w:bookmarkEnd w:id="816"/>
      <w:bookmarkEnd w:id="817"/>
      <w:bookmarkEnd w:id="818"/>
      <w:bookmarkEnd w:id="819"/>
      <w:bookmarkEnd w:id="820"/>
      <w:bookmarkEnd w:id="821"/>
      <w:bookmarkEnd w:id="822"/>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414"/>
        </w:numPr>
        <w:rPr>
          <w:lang w:val="de-DE"/>
        </w:rPr>
      </w:pPr>
      <w:r>
        <w:rPr>
          <w:lang w:val="de-DE"/>
        </w:rPr>
        <w:t>Welche IT-Ressourcen sollen ausgelagert werden?</w:t>
      </w:r>
    </w:p>
    <w:p>
      <w:pPr>
        <w:pStyle w:val="10000-DefaultParagraph"/>
        <w:numPr>
          <w:ilvl w:val="0"/>
          <w:numId w:val="415"/>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6"/>
        </w:numPr>
        <w:rPr>
          <w:lang w:val="de-DE"/>
        </w:rPr>
      </w:pPr>
      <w:r>
        <w:rPr>
          <w:lang w:val="de-DE"/>
        </w:rPr>
        <w:t xml:space="preserve">Sind die auszulagernden IT-Ressourcen </w:t>
      </w:r>
      <w:r>
        <w:rPr>
          <w:shd w:fill="auto" w:val="clear"/>
          <w:lang w:val="de-DE"/>
        </w:rPr>
        <w:t>wichtig</w:t>
      </w:r>
      <w:r>
        <w:rPr>
          <w:lang w:val="de-DE"/>
        </w:rPr>
        <w:t>?</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417"/>
        </w:numPr>
        <w:rPr>
          <w:lang w:val="de-DE"/>
        </w:rPr>
      </w:pPr>
      <w:r>
        <w:rPr>
          <w:lang w:val="de-DE"/>
        </w:rPr>
        <w:t>Kompetenzen für die Steuerung der auszulagernden IT-Ressourcen werden aufgebaut.</w:t>
      </w:r>
    </w:p>
    <w:p>
      <w:pPr>
        <w:pStyle w:val="10000-DefaultParagraph"/>
        <w:numPr>
          <w:ilvl w:val="0"/>
          <w:numId w:val="418"/>
        </w:numPr>
        <w:rPr>
          <w:lang w:val="de-DE"/>
        </w:rPr>
      </w:pPr>
      <w:r>
        <w:rPr>
          <w:lang w:val="de-DE"/>
        </w:rPr>
        <w:t>Die IT-Infrastruktur wird auf das Zusammenspiel mit den auszulagernden IT-Ressourcen vorbereitet.</w:t>
      </w:r>
    </w:p>
    <w:p>
      <w:pPr>
        <w:pStyle w:val="Heading2"/>
        <w:ind w:hanging="0" w:left="0"/>
        <w:rPr>
          <w:highlight w:val="none"/>
          <w:shd w:fill="EEEEEE" w:val="clear"/>
        </w:rPr>
      </w:pPr>
      <w:bookmarkStart w:id="823" w:name="__RefHeading___Toc32084_2021121348"/>
      <w:bookmarkStart w:id="824" w:name="_Toc187327131"/>
      <w:bookmarkStart w:id="825" w:name="_Ref184204651"/>
      <w:bookmarkStart w:id="826" w:name="del_14.2del_vertragsgestaltung"/>
      <w:bookmarkStart w:id="827" w:name="_Toc178588104"/>
      <w:bookmarkStart w:id="828" w:name="_Toc531165099"/>
      <w:bookmarkStart w:id="829" w:name="rl%252525252525252525252525252525252522d"/>
      <w:bookmarkStart w:id="830" w:name="_Toc530662964"/>
      <w:bookmarkStart w:id="831" w:name="_Toc178761397"/>
      <w:bookmarkEnd w:id="823"/>
      <w:bookmarkEnd w:id="829"/>
      <w:r>
        <w:rPr>
          <w:shd w:fill="EEEEEE" w:val="clear"/>
          <w:lang w:val="de-DE"/>
        </w:rPr>
        <w:t>Vertragsgestaltung</w:t>
      </w:r>
      <w:bookmarkEnd w:id="824"/>
      <w:bookmarkEnd w:id="825"/>
      <w:bookmarkEnd w:id="826"/>
      <w:bookmarkEnd w:id="827"/>
      <w:bookmarkEnd w:id="828"/>
      <w:bookmarkEnd w:id="830"/>
      <w:bookmarkEnd w:id="831"/>
    </w:p>
    <w:p>
      <w:pPr>
        <w:pStyle w:val="Normal"/>
        <w:rPr>
          <w:highlight w:val="none"/>
          <w:shd w:fill="EEEEEE" w:val="clear"/>
        </w:rPr>
      </w:pPr>
      <w:r>
        <w:rPr>
          <w:shd w:fill="EEEEEE" w:val="clear"/>
        </w:rPr>
        <w:t xml:space="preserve">Wenn IT-Ressourcen ausgelagert werden, MUSS mit dem Anbieter ein Vertrag geschlossen werden, der die Anforderungen aus Abschnitt </w:t>
      </w:r>
      <w:r>
        <w:rPr>
          <w:shd w:fill="EEEEEE" w:val="clear"/>
        </w:rPr>
        <w:fldChar w:fldCharType="begin"/>
      </w:r>
      <w:r>
        <w:rPr>
          <w:shd w:fill="EEEEEE" w:val="clear"/>
        </w:rPr>
        <w:instrText xml:space="preserve"> REF del_14.1del_vorbereitung \n \n \h </w:instrText>
      </w:r>
      <w:r>
        <w:rPr>
          <w:shd w:fill="EEEEEE" w:val="clear"/>
        </w:rPr>
        <w:fldChar w:fldCharType="separate"/>
      </w:r>
      <w:r>
        <w:rPr>
          <w:shd w:fill="EEEEEE" w:val="clear"/>
        </w:rPr>
        <w:t>14.3</w:t>
      </w:r>
      <w:r>
        <w:rPr>
          <w:shd w:fill="EEEEEE" w:val="clear"/>
        </w:rPr>
        <w:fldChar w:fldCharType="end"/>
      </w:r>
      <w:r>
        <w:rPr>
          <w:shd w:fill="EEEEEE" w:val="clear"/>
        </w:rPr>
        <w:t xml:space="preserve"> vertraglich festhält und den Anbieter zu deren Erfüllung verpflichtet.</w:t>
      </w:r>
    </w:p>
    <w:p>
      <w:pPr>
        <w:pStyle w:val="Normal"/>
        <w:spacing w:before="0" w:after="240"/>
        <w:rPr/>
      </w:pPr>
      <w:r>
        <w:rPr>
          <w:rStyle w:val="Emphasis"/>
          <w:shd w:fill="EEEEEE" w:val="clear"/>
        </w:rPr>
        <w:t>Darüber hinaus SOLLTEN folgende Punkte sichergestellt werden:</w:t>
      </w:r>
    </w:p>
    <w:p>
      <w:pPr>
        <w:pStyle w:val="Liste1"/>
        <w:numPr>
          <w:ilvl w:val="0"/>
          <w:numId w:val="419"/>
        </w:numPr>
        <w:spacing w:lineRule="auto" w:line="250"/>
        <w:rPr/>
      </w:pPr>
      <w:r>
        <w:rPr>
          <w:rStyle w:val="Emphasis"/>
          <w:shd w:fill="EEEEEE" w:val="clear"/>
        </w:rPr>
        <w:t>Ansprüche aus Vertragsverletzungen können durchgesetzt werden, auch wenn sich der Anbieter nicht in demselben Rechtsraum wie die Organisation befindet.</w:t>
      </w:r>
    </w:p>
    <w:p>
      <w:pPr>
        <w:pStyle w:val="Liste1"/>
        <w:numPr>
          <w:ilvl w:val="0"/>
          <w:numId w:val="420"/>
        </w:numPr>
        <w:spacing w:lineRule="auto" w:line="250"/>
        <w:rPr>
          <w:highlight w:val="none"/>
          <w:shd w:fill="EEEEEE" w:val="clear"/>
        </w:rPr>
      </w:pPr>
      <w:r>
        <w:rPr>
          <w:i/>
          <w:shd w:fill="EEEEEE" w:val="clear"/>
          <w:lang w:val="de-DE"/>
        </w:rPr>
        <w:t xml:space="preserve">Die Mitwirkungspflichten des Anbieters im Falle einer Vertragsauflösung, </w:t>
      </w:r>
      <w:r>
        <w:rPr>
          <w:i/>
          <w:iCs/>
          <w:shd w:fill="EEEEEE" w:val="clear"/>
          <w:lang w:val="de-DE"/>
        </w:rPr>
        <w:t>Geschäfts</w:t>
        <w:softHyphen/>
        <w:t>aufgabe</w:t>
      </w:r>
      <w:r>
        <w:rPr>
          <w:i/>
          <w:shd w:fill="EEEEEE" w:val="clear"/>
          <w:lang w:val="de-DE"/>
        </w:rPr>
        <w:t xml:space="preserve"> oder Insolvenz sind vereinbart, insbesondere die vollständige Herausgabe der IT-Ressourcen der Organisation sowie die aktive Unterstützung des Migrations</w:t>
        <w:softHyphen/>
        <w:t>prozesses durch den Anbieter.</w:t>
      </w:r>
    </w:p>
    <w:p>
      <w:pPr>
        <w:pStyle w:val="Heading2"/>
        <w:ind w:hanging="0" w:left="0"/>
        <w:rPr>
          <w:lang w:val="de-DE"/>
        </w:rPr>
      </w:pPr>
      <w:bookmarkStart w:id="832" w:name="__RefHeading___Toc32086_2021121348"/>
      <w:bookmarkStart w:id="833" w:name="_Ref184204672"/>
      <w:bookmarkStart w:id="834" w:name="rl%252525252525252525252525252525252522e"/>
      <w:bookmarkStart w:id="835" w:name="del_14.3del_zusaetzliche_massnahmen_fuer"/>
      <w:bookmarkStart w:id="836" w:name="_Toc178588105"/>
      <w:bookmarkStart w:id="837" w:name="_Toc530662965"/>
      <w:bookmarkStart w:id="838" w:name="_Toc531165100"/>
      <w:bookmarkStart w:id="839" w:name="_Toc178761398"/>
      <w:bookmarkStart w:id="840" w:name="_Toc187327132"/>
      <w:bookmarkEnd w:id="832"/>
      <w:bookmarkEnd w:id="834"/>
      <w:r>
        <w:rPr>
          <w:lang w:val="de-DE"/>
        </w:rPr>
        <w:t>Zusätzliche Maßnahmen für kritische IT-Ressourcen</w:t>
      </w:r>
      <w:bookmarkEnd w:id="833"/>
      <w:bookmarkEnd w:id="835"/>
      <w:bookmarkEnd w:id="836"/>
      <w:bookmarkEnd w:id="837"/>
      <w:bookmarkEnd w:id="838"/>
      <w:bookmarkEnd w:id="839"/>
      <w:bookmarkEnd w:id="840"/>
    </w:p>
    <w:p>
      <w:pPr>
        <w:pStyle w:val="10000-DefaultParagraph"/>
        <w:rPr>
          <w:highlight w:val="none"/>
          <w:shd w:fill="EEEEEE" w:val="clear"/>
        </w:rPr>
      </w:pPr>
      <w:r>
        <w:rPr>
          <w:spacing w:val="-2"/>
          <w:shd w:fill="EEEEEE" w:val="clear"/>
          <w:lang w:val="de-DE"/>
        </w:rPr>
        <w:t xml:space="preserve">Wenn kritische IT-Ressourcen ausgelagert werden, MÜSSEN die Anforderungen aus </w:t>
      </w:r>
      <w:r>
        <w:rPr>
          <w:shd w:fill="EEEEEE" w:val="clear"/>
          <w:lang w:val="de-DE"/>
        </w:rPr>
        <w:t xml:space="preserve">Abschnitt </w:t>
      </w:r>
      <w:r>
        <w:rPr>
          <w:shd w:fill="EEEEEE" w:val="clear"/>
          <w:lang w:val="de-DE"/>
        </w:rPr>
        <w:fldChar w:fldCharType="begin"/>
      </w:r>
      <w:r>
        <w:rPr>
          <w:shd w:fill="EEEEEE" w:val="clear"/>
          <w:lang w:val="de-DE"/>
        </w:rPr>
        <w:instrText xml:space="preserve"> REF del_14.1del_vorbereitung \n \n \h </w:instrText>
      </w:r>
      <w:r>
        <w:rPr>
          <w:shd w:fill="EEEEEE" w:val="clear"/>
          <w:lang w:val="de-DE"/>
        </w:rPr>
        <w:fldChar w:fldCharType="separate"/>
      </w:r>
      <w:r>
        <w:rPr>
          <w:shd w:fill="EEEEEE" w:val="clear"/>
          <w:lang w:val="de-DE"/>
        </w:rPr>
        <w:t>14.3</w:t>
      </w:r>
      <w:r>
        <w:rPr>
          <w:shd w:fill="EEEEEE" w:val="clear"/>
          <w:lang w:val="de-DE"/>
        </w:rPr>
        <w:fldChar w:fldCharType="end"/>
      </w:r>
      <w:r>
        <w:rPr>
          <w:shd w:fill="EEEEEE" w:val="clear"/>
          <w:lang w:val="de-DE"/>
        </w:rPr>
        <w:t xml:space="preserve"> an</w:t>
      </w:r>
      <w:r>
        <w:rPr>
          <w:spacing w:val="-2"/>
          <w:shd w:fill="EEEEEE" w:val="clear"/>
          <w:lang w:val="de-DE"/>
        </w:rPr>
        <w:t xml:space="preserve"> ihre Vertraulichkeit, Verfügbarkeit und Integrität im Rahmen einer Risikoidentifikation und -analyse (siehe Anhang </w:t>
      </w:r>
      <w:r>
        <w:rPr>
          <w:shd w:fill="EEEEEE" w:val="clear"/>
          <w:lang w:val="de-DE"/>
        </w:rPr>
        <w:fldChar w:fldCharType="begin"/>
      </w:r>
      <w:r>
        <w:rPr>
          <w:shd w:fill="EEEEEE" w:val="clear"/>
          <w:lang w:val="de-DE"/>
        </w:rPr>
        <w:instrText xml:space="preserve"> REF _Ref179188660 \n \n \h </w:instrText>
      </w:r>
      <w:r>
        <w:rPr>
          <w:shd w:fill="EEEEEE" w:val="clear"/>
          <w:lang w:val="de-DE"/>
        </w:rPr>
        <w:fldChar w:fldCharType="separate"/>
      </w:r>
      <w:r>
        <w:rPr>
          <w:shd w:fill="EEEEEE" w:val="clear"/>
          <w:lang w:val="de-DE"/>
        </w:rPr>
        <w:t>A.2.1</w:t>
      </w:r>
      <w:r>
        <w:rPr>
          <w:shd w:fill="EEEEEE" w:val="clear"/>
          <w:lang w:val="de-DE"/>
        </w:rPr>
        <w:fldChar w:fldCharType="end"/>
      </w:r>
      <w:r>
        <w:rPr>
          <w:shd w:fill="EEEEEE" w:val="clear"/>
          <w:lang w:val="de-DE"/>
        </w:rPr>
        <w:t>)</w:t>
      </w:r>
      <w:r>
        <w:rPr>
          <w:spacing w:val="-2"/>
          <w:shd w:fill="EEEEEE" w:val="clear"/>
          <w:lang w:val="de-DE"/>
        </w:rPr>
        <w:t xml:space="preserve"> ermittelt und folgende Punkte vertraglich geregelt werden: </w:t>
      </w:r>
    </w:p>
    <w:p>
      <w:pPr>
        <w:pStyle w:val="10000-DefaultParagraph"/>
        <w:numPr>
          <w:ilvl w:val="0"/>
          <w:numId w:val="421"/>
        </w:numPr>
        <w:rPr>
          <w:highlight w:val="none"/>
          <w:shd w:fill="EEEEEE" w:val="clear"/>
        </w:rPr>
      </w:pPr>
      <w:r>
        <w:rPr>
          <w:shd w:fill="EEEEEE" w:val="clear"/>
          <w:lang w:val="de-DE"/>
        </w:rPr>
        <w:t>Leistungen</w:t>
      </w:r>
    </w:p>
    <w:p>
      <w:pPr>
        <w:pStyle w:val="10000-DefaultParagraph"/>
        <w:numPr>
          <w:ilvl w:val="1"/>
          <w:numId w:val="422"/>
        </w:numPr>
        <w:rPr>
          <w:highlight w:val="none"/>
          <w:shd w:fill="EEEEEE" w:val="clear"/>
        </w:rPr>
      </w:pPr>
      <w:r>
        <w:rPr>
          <w:shd w:fill="EEEEEE" w:val="clear"/>
          <w:lang w:val="de-DE"/>
        </w:rPr>
        <w:t>Die vom Anbieter zu erbringenden Leistungen werden definiert und deren Messung und Überwachung werden vereinbart.</w:t>
      </w:r>
    </w:p>
    <w:p>
      <w:pPr>
        <w:pStyle w:val="10000-DefaultParagraph"/>
        <w:numPr>
          <w:ilvl w:val="1"/>
          <w:numId w:val="26"/>
        </w:numPr>
        <w:rPr>
          <w:highlight w:val="none"/>
          <w:shd w:fill="EEEEEE" w:val="clear"/>
        </w:rPr>
      </w:pPr>
      <w:r>
        <w:rPr>
          <w:shd w:fill="EEEEEE" w:val="clear"/>
          <w:lang w:val="de-DE"/>
        </w:rPr>
        <w:t>Die Standorte, an denen Leistungen erbracht werden, werden festgelegt.</w:t>
      </w:r>
    </w:p>
    <w:p>
      <w:pPr>
        <w:pStyle w:val="10000-DefaultParagraph"/>
        <w:numPr>
          <w:ilvl w:val="1"/>
          <w:numId w:val="26"/>
        </w:numPr>
        <w:rPr>
          <w:highlight w:val="none"/>
          <w:shd w:fill="EEEEEE" w:val="clear"/>
        </w:rPr>
      </w:pPr>
      <w:r>
        <w:rPr>
          <w:shd w:fill="EEEEEE" w:val="clear"/>
          <w:lang w:val="de-DE"/>
        </w:rPr>
        <w:t>Die Sicherheitsmaßnahmen, die der Anbieter zum Schutz der ausgelagerten IT-Ressourcen treffen muss, werden vereinbart.</w:t>
      </w:r>
    </w:p>
    <w:p>
      <w:pPr>
        <w:pStyle w:val="10000-DefaultParagraph"/>
        <w:numPr>
          <w:ilvl w:val="1"/>
          <w:numId w:val="26"/>
        </w:numPr>
        <w:rPr>
          <w:highlight w:val="none"/>
          <w:shd w:fill="EEEEEE" w:val="clear"/>
        </w:rPr>
      </w:pPr>
      <w:r>
        <w:rPr>
          <w:shd w:fill="EEEEEE" w:val="clea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shd w:fill="EEEEEE" w:val="clear"/>
          <w:lang w:val="de-DE"/>
        </w:rPr>
        <w:t>Es SOLLTEN Konsequenzen bei Nichteinhaltung der vertraglich vereinbarten Leistungen vereinbart werden.</w:t>
      </w:r>
    </w:p>
    <w:p>
      <w:pPr>
        <w:pStyle w:val="10000-DefaultParagraph"/>
        <w:numPr>
          <w:ilvl w:val="0"/>
          <w:numId w:val="423"/>
        </w:numPr>
        <w:rPr>
          <w:highlight w:val="none"/>
          <w:shd w:fill="EEEEEE" w:val="clear"/>
        </w:rPr>
      </w:pPr>
      <w:r>
        <w:rPr>
          <w:shd w:fill="EEEEEE" w:val="clear"/>
          <w:lang w:val="de-DE"/>
        </w:rPr>
        <w:t xml:space="preserve">Kommunikation </w:t>
      </w:r>
    </w:p>
    <w:p>
      <w:pPr>
        <w:pStyle w:val="10000-DefaultParagraph"/>
        <w:numPr>
          <w:ilvl w:val="1"/>
          <w:numId w:val="424"/>
        </w:numPr>
        <w:rPr>
          <w:highlight w:val="none"/>
          <w:shd w:fill="EEEEEE" w:val="clear"/>
        </w:rPr>
      </w:pPr>
      <w:r>
        <w:rPr>
          <w:shd w:fill="EEEEEE" w:val="clear"/>
          <w:lang w:val="de-DE"/>
        </w:rPr>
        <w:t>Die Ansprechpartner auf Seiten der Organisation und des Anbieters werden benannt.</w:t>
      </w:r>
    </w:p>
    <w:p>
      <w:pPr>
        <w:pStyle w:val="10000-DefaultParagraph"/>
        <w:numPr>
          <w:ilvl w:val="1"/>
          <w:numId w:val="26"/>
        </w:numPr>
        <w:rPr>
          <w:highlight w:val="none"/>
          <w:shd w:fill="EEEEEE" w:val="clear"/>
        </w:rPr>
      </w:pPr>
      <w:r>
        <w:rPr>
          <w:shd w:fill="EEEEEE" w:val="clear"/>
          <w:lang w:val="de-DE"/>
        </w:rPr>
        <w:t>Eine Vertraulichkeitsvereinbarung wird getroffen.</w:t>
      </w:r>
    </w:p>
    <w:p>
      <w:pPr>
        <w:pStyle w:val="10000-DefaultParagraph"/>
        <w:numPr>
          <w:ilvl w:val="1"/>
          <w:numId w:val="26"/>
        </w:numPr>
        <w:rPr>
          <w:highlight w:val="none"/>
          <w:shd w:fill="EEEEEE" w:val="clear"/>
        </w:rPr>
      </w:pPr>
      <w:r>
        <w:rPr>
          <w:shd w:fill="EEEEEE" w:val="clear"/>
          <w:lang w:val="de-DE"/>
        </w:rPr>
        <w:t>Es wird vereinbart, ob und unter welchen Bedingungen der Anbieter dazu berechtigt ist, Daten an Dritte weiterzugeben.</w:t>
      </w:r>
    </w:p>
    <w:p>
      <w:pPr>
        <w:pStyle w:val="10000-DefaultParagraph"/>
        <w:numPr>
          <w:ilvl w:val="1"/>
          <w:numId w:val="26"/>
        </w:numPr>
        <w:rPr>
          <w:highlight w:val="none"/>
          <w:shd w:fill="EEEEEE" w:val="clear"/>
        </w:rPr>
      </w:pPr>
      <w:r>
        <w:rPr>
          <w:shd w:fill="EEEEEE" w:val="clear"/>
          <w:lang w:val="de-DE"/>
        </w:rPr>
        <w:t>Eine Informationspflicht des Anbieters bei Sicherheitsvorfällen, die die ausgelagerten IT-Ressourcen betreffen, wird vereinbart.</w:t>
      </w:r>
    </w:p>
    <w:p>
      <w:pPr>
        <w:pStyle w:val="10000-DefaultParagraph"/>
        <w:numPr>
          <w:ilvl w:val="0"/>
          <w:numId w:val="26"/>
        </w:numPr>
        <w:rPr>
          <w:highlight w:val="none"/>
          <w:shd w:fill="EEEEEE" w:val="clear"/>
        </w:rPr>
      </w:pPr>
      <w:r>
        <w:rPr>
          <w:shd w:fill="EEEEEE" w:val="clear"/>
          <w:lang w:val="de-DE"/>
        </w:rPr>
        <w:t xml:space="preserve">Leistungsänderungen und Vertragsauflösung </w:t>
      </w:r>
    </w:p>
    <w:p>
      <w:pPr>
        <w:pStyle w:val="10000-DefaultParagraph"/>
        <w:numPr>
          <w:ilvl w:val="1"/>
          <w:numId w:val="425"/>
        </w:numPr>
        <w:rPr>
          <w:highlight w:val="none"/>
          <w:shd w:fill="EEEEEE" w:val="clear"/>
          <w:lang w:val="de-DE"/>
        </w:rPr>
      </w:pPr>
      <w:r>
        <w:rPr>
          <w:shd w:fill="EEEEEE" w:val="clea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numPr>
          <w:ilvl w:val="0"/>
          <w:numId w:val="426"/>
        </w:numPr>
        <w:rPr>
          <w:highlight w:val="none"/>
          <w:shd w:fill="EEEEEE" w:val="clear"/>
        </w:rPr>
      </w:pPr>
      <w:r>
        <w:rPr>
          <w:shd w:fill="EEEEEE" w:val="clear"/>
          <w:lang w:val="de-DE"/>
        </w:rPr>
        <w:t>Eine schriftliche Dokumentation und Meldung bei Änderungen an einem der oben genannten Punkte MUSS vereinbart werden.</w:t>
      </w:r>
    </w:p>
    <w:p>
      <w:pPr>
        <w:pStyle w:val="10000-DefaultParagraph"/>
        <w:rPr>
          <w:highlight w:val="none"/>
          <w:shd w:fill="EEEEEE" w:val="clear"/>
        </w:rPr>
      </w:pPr>
      <w:r>
        <w:rPr>
          <w:shd w:fill="EEEEEE" w:val="clear"/>
          <w:lang w:val="de-DE"/>
        </w:rPr>
        <w:t>Es MUSS sichergestellt sein, dass Ansprüche aus Vertragsverletzungen durchgesetzt werden können, auch wenn sich der Anbieter nicht im gleichen Rechtsraum wie die Organisation befindet.</w:t>
      </w:r>
    </w:p>
    <w:p>
      <w:pPr>
        <w:pStyle w:val="Heading1"/>
        <w:ind w:hanging="0" w:left="0"/>
        <w:rPr>
          <w:highlight w:val="none"/>
          <w:shd w:fill="EEEEEE" w:val="clear"/>
        </w:rPr>
      </w:pPr>
      <w:bookmarkStart w:id="841" w:name="__RefHeading___Toc32088_2021121348"/>
      <w:bookmarkStart w:id="842" w:name="_Toc531165101"/>
      <w:bookmarkStart w:id="843" w:name="rl%252525252525252525252525252525252522f"/>
      <w:bookmarkStart w:id="844" w:name="zugaenge_und_zugriffsrechte"/>
      <w:bookmarkStart w:id="845" w:name="_Toc530662966"/>
      <w:bookmarkStart w:id="846" w:name="_Toc178588106"/>
      <w:bookmarkStart w:id="847" w:name="_Ref179186593"/>
      <w:bookmarkStart w:id="848" w:name="_Toc187327133"/>
      <w:bookmarkStart w:id="849" w:name="_Ref184204681"/>
      <w:bookmarkStart w:id="850" w:name="_Toc178761399"/>
      <w:bookmarkEnd w:id="841"/>
      <w:bookmarkEnd w:id="843"/>
      <w:r>
        <w:rPr>
          <w:shd w:fill="EEEEEE" w:val="clear"/>
          <w:lang w:val="de-DE"/>
        </w:rPr>
        <w:t xml:space="preserve">Zugänge, Zugriffs- und </w:t>
      </w:r>
      <w:bookmarkEnd w:id="842"/>
      <w:bookmarkEnd w:id="844"/>
      <w:bookmarkEnd w:id="845"/>
      <w:r>
        <w:rPr>
          <w:shd w:fill="EEEEEE" w:val="clear"/>
          <w:lang w:val="de-DE"/>
        </w:rPr>
        <w:t>Zutrittsrechte</w:t>
      </w:r>
      <w:bookmarkEnd w:id="846"/>
      <w:bookmarkEnd w:id="847"/>
      <w:bookmarkEnd w:id="848"/>
      <w:bookmarkEnd w:id="849"/>
      <w:bookmarkEnd w:id="850"/>
    </w:p>
    <w:p>
      <w:pPr>
        <w:pStyle w:val="Heading2"/>
        <w:ind w:hanging="0" w:left="0"/>
        <w:rPr>
          <w:highlight w:val="none"/>
          <w:shd w:fill="EEEEEE" w:val="clear"/>
        </w:rPr>
      </w:pPr>
      <w:bookmarkStart w:id="851" w:name="__RefHeading___Toc32090_2021121348"/>
      <w:bookmarkStart w:id="852" w:name="_Toc187327134"/>
      <w:bookmarkEnd w:id="851"/>
      <w:r>
        <w:rPr>
          <w:shd w:fill="EEEEEE" w:val="clear"/>
          <w:lang w:val="de-DE"/>
        </w:rPr>
        <w:t>Grundlagen</w:t>
      </w:r>
      <w:bookmarkEnd w:id="852"/>
    </w:p>
    <w:p>
      <w:pPr>
        <w:pStyle w:val="Normal"/>
        <w:rPr>
          <w:highlight w:val="none"/>
          <w:shd w:fill="EEEEEE" w:val="clear"/>
        </w:rPr>
      </w:pPr>
      <w:r>
        <w:rPr>
          <w:shd w:fill="EEEEEE" w:val="clear"/>
          <w:lang w:val="de-DE"/>
        </w:rPr>
        <w:t>Zugänge, Zugriffs- und Zutrittsrechte erlauben es, auf die nichtöffentliche IT der Organi</w:t>
        <w:softHyphen/>
        <w:t>sation und ihre Daten zuzugreifen. Deshalb ist es notwendig, diese strukturiert zu verwalten.</w:t>
      </w:r>
    </w:p>
    <w:p>
      <w:pPr>
        <w:pStyle w:val="Heading2"/>
        <w:ind w:hanging="0" w:left="0"/>
        <w:rPr>
          <w:highlight w:val="none"/>
          <w:shd w:fill="EEEEEE" w:val="clear"/>
        </w:rPr>
      </w:pPr>
      <w:bookmarkStart w:id="853" w:name="__RefHeading___Toc32092_2021121348"/>
      <w:bookmarkStart w:id="854" w:name="verwaltung"/>
      <w:bookmarkStart w:id="855" w:name="rl%252525252525252525252525252525252522g"/>
      <w:bookmarkStart w:id="856" w:name="_Toc178588107"/>
      <w:bookmarkStart w:id="857" w:name="_Toc531165102"/>
      <w:bookmarkStart w:id="858" w:name="_Ref184204689"/>
      <w:bookmarkStart w:id="859" w:name="_Toc178761400"/>
      <w:bookmarkStart w:id="860" w:name="_Toc187327135"/>
      <w:bookmarkStart w:id="861" w:name="_Toc530662967"/>
      <w:bookmarkEnd w:id="853"/>
      <w:bookmarkEnd w:id="855"/>
      <w:r>
        <w:rPr>
          <w:shd w:fill="EEEEEE" w:val="clear"/>
          <w:lang w:val="de-DE"/>
        </w:rPr>
        <w:t>Verwaltung</w:t>
      </w:r>
      <w:bookmarkEnd w:id="854"/>
      <w:bookmarkEnd w:id="856"/>
      <w:bookmarkEnd w:id="857"/>
      <w:bookmarkEnd w:id="858"/>
      <w:bookmarkEnd w:id="859"/>
      <w:bookmarkEnd w:id="860"/>
      <w:bookmarkEnd w:id="86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_Ref179188712 \n \n \h </w:instrText>
      </w:r>
      <w:r>
        <w:rPr>
          <w:shd w:fill="EEEEEE" w:val="clear"/>
        </w:rPr>
        <w:fldChar w:fldCharType="separate"/>
      </w:r>
      <w:r>
        <w:rPr>
          <w:shd w:fill="EEEEEE" w:val="clear"/>
        </w:rPr>
        <w:t>A.1</w:t>
      </w:r>
      <w:r>
        <w:rPr>
          <w:shd w:fill="EEEEEE" w:val="clear"/>
        </w:rPr>
        <w:fldChar w:fldCharType="end"/>
      </w:r>
      <w:r>
        <w:rPr>
          <w:shd w:fill="EEEEEE" w:val="clear"/>
        </w:rPr>
        <w:t>) für das Anlegen und Ändern von Zugängen, Zugriffs</w:t>
        <w:softHyphen/>
        <w:t>rechten und Zutrittsrechten sowie für das Zurücksetzen von Authentifizierungs</w:t>
        <w:softHyphen/>
        <w:t>merkmalen implementiert werden, die folgende Punkte sicherstellen:</w:t>
      </w:r>
    </w:p>
    <w:p>
      <w:pPr>
        <w:pStyle w:val="Liste1"/>
        <w:numPr>
          <w:ilvl w:val="0"/>
          <w:numId w:val="427"/>
        </w:numPr>
        <w:spacing w:lineRule="auto" w:line="250"/>
        <w:rPr>
          <w:highlight w:val="none"/>
          <w:shd w:fill="EEEEEE" w:val="clear"/>
        </w:rPr>
      </w:pPr>
      <w:r>
        <w:rPr>
          <w:spacing w:val="-3"/>
          <w:shd w:fill="EEEEEE" w:val="clear"/>
        </w:rPr>
        <w:t>Die jeweiligen Vorgänge werden vor ihrer Umsetzung beantragt, geprüft und genehmigt.</w:t>
      </w:r>
    </w:p>
    <w:p>
      <w:pPr>
        <w:pStyle w:val="Liste1"/>
        <w:numPr>
          <w:ilvl w:val="0"/>
          <w:numId w:val="428"/>
        </w:numPr>
        <w:spacing w:lineRule="auto" w:line="250"/>
        <w:rPr>
          <w:highlight w:val="none"/>
          <w:shd w:fill="EEEEEE" w:val="clear"/>
        </w:rPr>
      </w:pPr>
      <w:r>
        <w:rPr>
          <w:shd w:fill="EEEEEE" w:val="clear"/>
        </w:rPr>
        <w:t>Zugänge und Zugriffsrechte sowie Zutrittsrechte zu Serverräumen, Server- oder Netzwerkschränken oder zu kritischen IT-Systemen werden nur genehmigt, wenn sie für die Aufgabenerfüllung des jeweiligen Nutzers notwendig sind.</w:t>
      </w:r>
    </w:p>
    <w:p>
      <w:pPr>
        <w:pStyle w:val="Liste1"/>
        <w:numPr>
          <w:ilvl w:val="0"/>
          <w:numId w:val="429"/>
        </w:numPr>
        <w:spacing w:lineRule="auto" w:line="250"/>
        <w:rPr>
          <w:highlight w:val="none"/>
          <w:shd w:fill="EEEEEE" w:val="clear"/>
        </w:rPr>
      </w:pPr>
      <w:r>
        <w:rPr>
          <w:shd w:fill="EEEEEE" w:val="clear"/>
        </w:rPr>
        <w:t>Wenn ein Nutzer administrative Zugänge oder Zugriffsrechte oder Zutrittsrechte zu Serverräumen, Server- oder Netzwerkschränken oder zu kritischen IT-Systemen erhalten soll, wird dies besonders begründet und vom IT-Verantwortlichen entschieden.</w:t>
      </w:r>
    </w:p>
    <w:p>
      <w:pPr>
        <w:pStyle w:val="Liste1"/>
        <w:numPr>
          <w:ilvl w:val="0"/>
          <w:numId w:val="430"/>
        </w:numPr>
        <w:spacing w:lineRule="auto" w:line="250"/>
        <w:rPr>
          <w:highlight w:val="none"/>
          <w:shd w:fill="EEEEEE" w:val="clear"/>
        </w:rPr>
      </w:pPr>
      <w:r>
        <w:rPr>
          <w:shd w:fill="EEEEEE" w:val="clear"/>
        </w:rPr>
        <w:t>Antragssteller und Nutzer werden zeitnah über die erfolgte Durchführung informiert.</w:t>
      </w:r>
    </w:p>
    <w:p>
      <w:pPr>
        <w:pStyle w:val="Liste1"/>
        <w:numPr>
          <w:ilvl w:val="0"/>
          <w:numId w:val="0"/>
        </w:numPr>
        <w:ind w:hanging="0" w:left="360"/>
        <w:rPr>
          <w:highlight w:val="none"/>
          <w:shd w:fill="EEEEEE" w:val="clear"/>
        </w:rPr>
      </w:pPr>
      <w:r>
        <w:rPr>
          <w:i/>
          <w:shd w:fill="EEEEEE" w:val="clear"/>
        </w:rPr>
        <w:t>Wenn Zugänge, Zugriffsrechte oder Zutrittsrechte entzogen werden, KANN auf das Informieren des Nutzers verzichtet werden.</w:t>
      </w:r>
    </w:p>
    <w:p>
      <w:pPr>
        <w:pStyle w:val="Liste1"/>
        <w:numPr>
          <w:ilvl w:val="0"/>
          <w:numId w:val="431"/>
        </w:numPr>
        <w:spacing w:lineRule="auto" w:line="250"/>
        <w:rPr>
          <w:highlight w:val="none"/>
          <w:shd w:fill="EEEEEE" w:val="clear"/>
        </w:rPr>
      </w:pPr>
      <w:r>
        <w:rPr>
          <w:shd w:fill="EEEEEE" w:val="clear"/>
        </w:rPr>
        <w:t>Vor dem Löschen eines Zugangs werden die Daten, die mit ihm verknüpft sind, weitergegeben, gelöscht oder gesichert bzw. archiviert.</w:t>
      </w:r>
    </w:p>
    <w:p>
      <w:pPr>
        <w:pStyle w:val="Liste1"/>
        <w:numPr>
          <w:ilvl w:val="0"/>
          <w:numId w:val="432"/>
        </w:numPr>
        <w:spacing w:lineRule="auto" w:line="250"/>
        <w:rPr>
          <w:highlight w:val="none"/>
          <w:shd w:fill="EEEEEE" w:val="clear"/>
        </w:rPr>
      </w:pPr>
      <w:r>
        <w:rPr>
          <w:shd w:fill="EEEEEE" w:val="clear"/>
          <w:lang w:val="de-DE"/>
        </w:rPr>
        <w:t>Die jeweiligen Vorgänge werden dokumentiert.</w:t>
      </w:r>
    </w:p>
    <w:p>
      <w:pPr>
        <w:pStyle w:val="Heading2"/>
        <w:ind w:hanging="0" w:left="0"/>
        <w:jc w:val="left"/>
        <w:rPr>
          <w:highlight w:val="none"/>
          <w:shd w:fill="EEEEEE" w:val="clear"/>
        </w:rPr>
      </w:pPr>
      <w:bookmarkStart w:id="862" w:name="__RefHeading___Toc32094_2021121348"/>
      <w:bookmarkStart w:id="863" w:name="_Toc530662968"/>
      <w:bookmarkStart w:id="864" w:name="rl%252525252525252525252525252525252522h"/>
      <w:bookmarkStart w:id="865" w:name="_Toc531165103"/>
      <w:bookmarkStart w:id="866" w:name="_Toc178588108"/>
      <w:bookmarkStart w:id="867" w:name="_Ref184204700"/>
      <w:bookmarkStart w:id="868" w:name="_Toc187327136"/>
      <w:bookmarkStart w:id="869" w:name="_Toc178761401"/>
      <w:bookmarkEnd w:id="862"/>
      <w:bookmarkEnd w:id="864"/>
      <w:r>
        <w:rPr>
          <w:shd w:fill="EEEEEE" w:val="clear"/>
          <w:lang w:val="de-DE"/>
        </w:rPr>
        <w:t>Zusätzliche Maßnahmen für kritische IT-Systeme und Informationen</w:t>
      </w:r>
      <w:bookmarkEnd w:id="863"/>
      <w:bookmarkEnd w:id="865"/>
      <w:bookmarkEnd w:id="866"/>
      <w:bookmarkEnd w:id="867"/>
      <w:bookmarkEnd w:id="868"/>
      <w:bookmarkEnd w:id="869"/>
    </w:p>
    <w:p>
      <w:pPr>
        <w:pStyle w:val="Normal"/>
        <w:rPr>
          <w:highlight w:val="none"/>
          <w:shd w:fill="EEEEEE" w:val="clear"/>
        </w:rPr>
      </w:pPr>
      <w:commentRangeStart w:id="15"/>
      <w:r>
        <w:rPr>
          <w:shd w:fill="EEEEEE" w:val="clea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shd w:fill="EEEEEE" w:val="clear"/>
        </w:rPr>
        <w:fldChar w:fldCharType="begin"/>
      </w:r>
      <w:r>
        <w:rPr>
          <w:shd w:fill="EEEEEE" w:val="clear"/>
        </w:rPr>
        <w:instrText xml:space="preserve"> REF verwaltung \n \n \h </w:instrText>
      </w:r>
      <w:r>
        <w:rPr>
          <w:shd w:fill="EEEEEE" w:val="clear"/>
        </w:rPr>
        <w:fldChar w:fldCharType="separate"/>
      </w:r>
      <w:r>
        <w:rPr>
          <w:shd w:fill="EEEEEE" w:val="clear"/>
        </w:rPr>
        <w:t>15.2</w:t>
      </w:r>
      <w:r>
        <w:rPr>
          <w:shd w:fill="EEEEEE" w:val="clear"/>
        </w:rPr>
        <w:fldChar w:fldCharType="end"/>
      </w:r>
      <w:r>
        <w:rPr>
          <w:shd w:fill="EEEEEE" w:val="clear"/>
        </w:rPr>
        <w:t xml:space="preserve"> angelegt wurden und benötigt werden.</w:t>
      </w:r>
      <w:commentRangeEnd w:id="15"/>
      <w:r>
        <w:commentReference w:id="15"/>
      </w:r>
      <w:r>
        <w:rPr>
          <w:shd w:fill="EEEEEE" w:val="clear"/>
        </w:rPr>
      </w:r>
    </w:p>
    <w:p>
      <w:pPr>
        <w:pStyle w:val="Normal"/>
        <w:rPr>
          <w:highlight w:val="none"/>
          <w:shd w:fill="EEEEEE" w:val="clear"/>
        </w:rPr>
      </w:pPr>
      <w:r>
        <w:rPr>
          <w:shd w:fill="EEEEEE" w:val="clear"/>
          <w:lang w:val="de-DE"/>
        </w:rPr>
        <w:t xml:space="preserve">Nicht ordnungsgemäß angelegte Zugänge, Zugriffsrechte oder Zutrittsrechte MÜSSEN als Sicherheitsvorfall (siehe Kapitel </w:t>
      </w:r>
      <w:r>
        <w:rPr>
          <w:shd w:fill="EEEEEE" w:val="clear"/>
          <w:lang w:val="de-DE"/>
        </w:rPr>
        <w:fldChar w:fldCharType="begin"/>
      </w:r>
      <w:r>
        <w:rPr>
          <w:shd w:fill="EEEEEE" w:val="clear"/>
          <w:lang w:val="de-DE"/>
        </w:rPr>
        <w:instrText xml:space="preserve"> REF _Ref179188750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1"/>
        <w:ind w:hanging="0" w:left="0"/>
        <w:rPr>
          <w:highlight w:val="none"/>
          <w:shd w:fill="EEEEEE" w:val="clear"/>
        </w:rPr>
      </w:pPr>
      <w:bookmarkStart w:id="870" w:name="__RefHeading___Toc32096_2021121348"/>
      <w:bookmarkStart w:id="871" w:name="_Ref179378716"/>
      <w:bookmarkStart w:id="872" w:name="_Ref179378737"/>
      <w:bookmarkStart w:id="873" w:name="_Toc530662969"/>
      <w:bookmarkStart w:id="874" w:name="datensicherung_und_archivierung"/>
      <w:bookmarkStart w:id="875" w:name="_Toc178588109"/>
      <w:bookmarkStart w:id="876" w:name="_Ref179187414"/>
      <w:bookmarkStart w:id="877" w:name="rl%252525252525252525252525252525252522i"/>
      <w:bookmarkStart w:id="878" w:name="_Ref179378700"/>
      <w:bookmarkStart w:id="879" w:name="_Toc187327137"/>
      <w:bookmarkStart w:id="880" w:name="_Toc178761402"/>
      <w:bookmarkStart w:id="881" w:name="_Ref179378707"/>
      <w:bookmarkStart w:id="882" w:name="_Ref178761950"/>
      <w:bookmarkStart w:id="883" w:name="_Toc531165104"/>
      <w:bookmarkEnd w:id="870"/>
      <w:bookmarkEnd w:id="877"/>
      <w:r>
        <w:rPr>
          <w:shd w:fill="EEEEEE" w:val="clear"/>
          <w:lang w:val="de-DE"/>
        </w:rPr>
        <w:t>Datensicherung</w:t>
      </w:r>
      <w:bookmarkEnd w:id="871"/>
      <w:bookmarkEnd w:id="872"/>
      <w:bookmarkEnd w:id="873"/>
      <w:bookmarkEnd w:id="874"/>
      <w:bookmarkEnd w:id="875"/>
      <w:bookmarkEnd w:id="876"/>
      <w:bookmarkEnd w:id="878"/>
      <w:bookmarkEnd w:id="879"/>
      <w:bookmarkEnd w:id="880"/>
      <w:bookmarkEnd w:id="881"/>
      <w:bookmarkEnd w:id="882"/>
      <w:bookmarkEnd w:id="883"/>
    </w:p>
    <w:p>
      <w:pPr>
        <w:pStyle w:val="Heading2"/>
        <w:ind w:hanging="0" w:left="0"/>
        <w:rPr>
          <w:highlight w:val="none"/>
          <w:shd w:fill="EEEEEE" w:val="clear"/>
        </w:rPr>
      </w:pPr>
      <w:bookmarkStart w:id="884" w:name="__RefHeading___Toc32098_2021121348"/>
      <w:bookmarkStart w:id="885" w:name="_Toc187327138"/>
      <w:bookmarkEnd w:id="884"/>
      <w:r>
        <w:rPr>
          <w:shd w:fill="EEEEEE" w:val="clear"/>
          <w:lang w:val="de-DE"/>
        </w:rPr>
        <w:t>Grundlagen</w:t>
      </w:r>
      <w:bookmarkEnd w:id="885"/>
    </w:p>
    <w:p>
      <w:pPr>
        <w:pStyle w:val="Normal"/>
        <w:rPr>
          <w:highlight w:val="none"/>
          <w:shd w:fill="EEEEEE" w:val="clear"/>
        </w:rPr>
      </w:pPr>
      <w:r>
        <w:rPr>
          <w:shd w:fill="EEEEEE" w:val="clear"/>
        </w:rPr>
        <w:t>Daten können unbrauchbar werden oder verloren gehen. Deshalb ist es notwendig, durch eine Datensicherung die Integrität und Verfügbarkeit der Daten sicherzustellen.</w:t>
      </w:r>
    </w:p>
    <w:p>
      <w:pPr>
        <w:pStyle w:val="Normal"/>
        <w:rPr/>
      </w:pPr>
      <w:r>
        <w:rPr>
          <w:rStyle w:val="Emphasis"/>
          <w:shd w:fill="EEEEEE" w:val="clear"/>
        </w:rPr>
        <w:t xml:space="preserve">Die Datensicherung SOLLTE auf Basis eines anerkannten Standards wie z. B. </w:t>
      </w:r>
      <w:hyperlink r:id="rId6">
        <w:r>
          <w:rPr>
            <w:rStyle w:val="Style"/>
            <w:i/>
            <w:iCs/>
            <w:shd w:fill="EEEEEE" w:val="clear"/>
          </w:rPr>
          <w:t>BSI-Standard 200-2</w:t>
        </w:r>
      </w:hyperlink>
      <w:r>
        <w:rPr>
          <w:rStyle w:val="Emphasis"/>
          <w:shd w:fill="EEEEEE" w:val="clear"/>
        </w:rPr>
        <w:t xml:space="preserve"> unter Berücksichtigung der IT-Grundschutz-Bausteine des BSI implementiert werden.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highlight w:val="none"/>
          <w:shd w:fill="EEEEEE" w:val="clear"/>
        </w:rPr>
      </w:pPr>
      <w:bookmarkStart w:id="886" w:name="__RefHeading___Toc32100_2021121348"/>
      <w:bookmarkStart w:id="887" w:name="is-richtlinie3"/>
      <w:bookmarkStart w:id="888" w:name="rl%252525252525252525252525252525252522j"/>
      <w:bookmarkStart w:id="889" w:name="_Toc178761403"/>
      <w:bookmarkStart w:id="890" w:name="_Toc187327139"/>
      <w:bookmarkStart w:id="891" w:name="_Toc178588110"/>
      <w:bookmarkStart w:id="892" w:name="_Ref179188907"/>
      <w:bookmarkStart w:id="893" w:name="_Toc531165105"/>
      <w:bookmarkStart w:id="894" w:name="_Toc530662970"/>
      <w:bookmarkEnd w:id="886"/>
      <w:bookmarkEnd w:id="888"/>
      <w:r>
        <w:rPr>
          <w:shd w:fill="EEEEEE" w:val="clear"/>
          <w:lang w:val="de-DE"/>
        </w:rPr>
        <w:t>IS-Richtlinie</w:t>
      </w:r>
      <w:bookmarkEnd w:id="887"/>
      <w:bookmarkEnd w:id="889"/>
      <w:bookmarkEnd w:id="890"/>
      <w:bookmarkEnd w:id="891"/>
      <w:bookmarkEnd w:id="892"/>
      <w:bookmarkEnd w:id="893"/>
      <w:bookmarkEnd w:id="894"/>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_Ref179188801 \n \n \h </w:instrText>
      </w:r>
      <w:r>
        <w:rPr>
          <w:shd w:fill="EEEEEE" w:val="clear"/>
          <w:lang w:val="de-DE"/>
        </w:rPr>
        <w:fldChar w:fldCharType="separate"/>
      </w:r>
      <w:r>
        <w:rPr>
          <w:shd w:fill="EEEEEE" w:val="clear"/>
          <w:lang w:val="de-DE"/>
        </w:rPr>
        <w:t>6.4</w:t>
      </w:r>
      <w:r>
        <w:rPr>
          <w:shd w:fill="EEEEEE" w:val="clear"/>
          <w:lang w:val="de-DE"/>
        </w:rPr>
        <w:fldChar w:fldCharType="end"/>
      </w:r>
      <w:r>
        <w:rPr>
          <w:shd w:fill="EEEEEE" w:val="clea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6"/>
      </w:r>
    </w:p>
    <w:p>
      <w:pPr>
        <w:pStyle w:val="Heading2"/>
        <w:ind w:hanging="0" w:left="0"/>
        <w:rPr>
          <w:lang w:val="de-DE"/>
        </w:rPr>
      </w:pPr>
      <w:bookmarkStart w:id="895" w:name="__RefHeading___Toc32102_2021121348"/>
      <w:bookmarkStart w:id="896" w:name="_Toc178588111"/>
      <w:bookmarkStart w:id="897" w:name="_Toc530662972"/>
      <w:bookmarkStart w:id="898" w:name="_Toc531165107"/>
      <w:bookmarkStart w:id="899" w:name="verfahren"/>
      <w:bookmarkStart w:id="900" w:name="_Toc187327140"/>
      <w:bookmarkStart w:id="901" w:name="_Toc178761404"/>
      <w:bookmarkStart w:id="902" w:name="_Ref184204724"/>
      <w:bookmarkStart w:id="903" w:name="rl%252525252525252525252525252525252522k"/>
      <w:bookmarkEnd w:id="895"/>
      <w:bookmarkEnd w:id="903"/>
      <w:r>
        <w:rPr>
          <w:lang w:val="de-DE"/>
        </w:rPr>
        <w:t>Verfahren</w:t>
      </w:r>
      <w:bookmarkEnd w:id="896"/>
      <w:bookmarkEnd w:id="897"/>
      <w:bookmarkEnd w:id="898"/>
      <w:bookmarkEnd w:id="899"/>
      <w:bookmarkEnd w:id="900"/>
      <w:bookmarkEnd w:id="901"/>
      <w:bookmarkEnd w:id="902"/>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Für die Datensicherung werden mehrere Medien eingesetzt und dabei ist sichergestellt, dass der Ausfall eines Mediums nicht zum Verlust von wesentlichen Teilen der gesicherten Daten führt - wenn die Datensicherung ausschließlich über Cloud-Dienste erfolgt</w:t>
      </w:r>
      <w:commentRangeStart w:id="17"/>
      <w:r>
        <w:rPr>
          <w:lang w:val="de-DE"/>
        </w:rPr>
        <w:t xml:space="preserve"> </w:t>
      </w:r>
      <w:r>
        <w:rPr>
          <w:lang w:val="de-DE"/>
        </w:rPr>
        <w:t>ist sichergestellt</w:t>
      </w:r>
      <w:r>
        <w:rPr>
          <w:lang w:val="de-DE"/>
        </w:rPr>
      </w:r>
      <w:commentRangeEnd w:id="17"/>
      <w:r>
        <w:commentReference w:id="17"/>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highlight w:val="none"/>
          <w:shd w:fill="EEEEEE" w:val="clear"/>
        </w:rPr>
      </w:pPr>
      <w:bookmarkStart w:id="904" w:name="__RefHeading___Toc32104_2021121348"/>
      <w:bookmarkStart w:id="905" w:name="_Toc178588112"/>
      <w:bookmarkStart w:id="906" w:name="weiterentwicklung"/>
      <w:bookmarkStart w:id="907" w:name="_Toc531165108"/>
      <w:bookmarkStart w:id="908" w:name="_Toc178761405"/>
      <w:bookmarkStart w:id="909" w:name="_Toc187327141"/>
      <w:bookmarkStart w:id="910" w:name="rl%252525252525252525252525252525252522l"/>
      <w:bookmarkStart w:id="911" w:name="_Ref179189000"/>
      <w:bookmarkStart w:id="912" w:name="_Toc530662973"/>
      <w:bookmarkEnd w:id="904"/>
      <w:bookmarkEnd w:id="910"/>
      <w:r>
        <w:rPr>
          <w:shd w:fill="EEEEEE" w:val="clear"/>
          <w:lang w:val="de-DE"/>
        </w:rPr>
        <w:t>Weiterentwicklung</w:t>
      </w:r>
      <w:bookmarkEnd w:id="905"/>
      <w:bookmarkEnd w:id="906"/>
      <w:bookmarkEnd w:id="907"/>
      <w:bookmarkEnd w:id="908"/>
      <w:bookmarkEnd w:id="909"/>
      <w:bookmarkEnd w:id="911"/>
      <w:bookmarkEnd w:id="912"/>
    </w:p>
    <w:p>
      <w:pPr>
        <w:pStyle w:val="Normal"/>
        <w:rPr>
          <w:highlight w:val="none"/>
          <w:shd w:fill="EEEEEE" w:val="clear"/>
        </w:rPr>
      </w:pPr>
      <w:r>
        <w:rPr>
          <w:shd w:fill="EEEEEE" w:val="clear"/>
        </w:rPr>
        <w:t>Der ISB MUSS jährlich prüfen, ob Änderungen an IT-Systemen sowie an gesetzlichen, betrieblichen oder vertraglichen Rahmenbedingungen eine Anpassung der Sicherungs- und/oder Wiederherstellungsverfahren erforderlich machen.</w:t>
      </w:r>
    </w:p>
    <w:p>
      <w:pPr>
        <w:pStyle w:val="Normal"/>
        <w:rPr>
          <w:highlight w:val="none"/>
          <w:shd w:fill="EEEEEE" w:val="clear"/>
        </w:rPr>
      </w:pPr>
      <w:r>
        <w:rPr>
          <w:shd w:fill="EEEEEE" w:val="clear"/>
          <w:lang w:val="de-DE"/>
        </w:rPr>
        <w:t>Notwendige Anpassungen MÜSSEN zeitnah implementiert werden.</w:t>
      </w:r>
    </w:p>
    <w:p>
      <w:pPr>
        <w:pStyle w:val="Heading2"/>
        <w:ind w:hanging="0" w:left="0"/>
        <w:rPr>
          <w:highlight w:val="none"/>
          <w:shd w:fill="EEEEEE" w:val="clear"/>
        </w:rPr>
      </w:pPr>
      <w:bookmarkStart w:id="913" w:name="__RefHeading___Toc32106_2021121348"/>
      <w:bookmarkStart w:id="914" w:name="_Toc531165109"/>
      <w:bookmarkStart w:id="915" w:name="_Toc530662974"/>
      <w:bookmarkStart w:id="916" w:name="_Toc178588113"/>
      <w:bookmarkStart w:id="917" w:name="basisschutz2"/>
      <w:bookmarkStart w:id="918" w:name="rl%252525252525252525252525252525252522m"/>
      <w:bookmarkStart w:id="919" w:name="_Toc178761406"/>
      <w:bookmarkStart w:id="920" w:name="_Ref179379162"/>
      <w:bookmarkStart w:id="921" w:name="_Toc187327142"/>
      <w:bookmarkEnd w:id="913"/>
      <w:bookmarkEnd w:id="918"/>
      <w:r>
        <w:rPr>
          <w:shd w:fill="EEEEEE" w:val="clear"/>
          <w:lang w:val="de-DE"/>
        </w:rPr>
        <w:t>Basisschutz</w:t>
      </w:r>
      <w:bookmarkEnd w:id="914"/>
      <w:bookmarkEnd w:id="915"/>
      <w:bookmarkEnd w:id="916"/>
      <w:bookmarkEnd w:id="917"/>
      <w:bookmarkEnd w:id="919"/>
      <w:bookmarkEnd w:id="920"/>
      <w:bookmarkEnd w:id="921"/>
    </w:p>
    <w:p>
      <w:pPr>
        <w:pStyle w:val="Heading3"/>
        <w:ind w:hanging="0" w:left="0"/>
        <w:rPr>
          <w:highlight w:val="none"/>
          <w:shd w:fill="EEEEEE" w:val="clear"/>
        </w:rPr>
      </w:pPr>
      <w:bookmarkStart w:id="922" w:name="__RefHeading___Toc32108_2021121348"/>
      <w:bookmarkStart w:id="923" w:name="_Toc187327143"/>
      <w:bookmarkEnd w:id="922"/>
      <w:r>
        <w:rPr>
          <w:shd w:fill="EEEEEE" w:val="clear"/>
          <w:lang w:val="de-DE"/>
        </w:rPr>
        <w:t>Basisschutz-Maßnahmen</w:t>
      </w:r>
      <w:bookmarkEnd w:id="923"/>
    </w:p>
    <w:p>
      <w:pPr>
        <w:pStyle w:val="Normal"/>
        <w:rPr>
          <w:highlight w:val="none"/>
          <w:shd w:fill="EEEEEE" w:val="clear"/>
        </w:rPr>
      </w:pPr>
      <w:r>
        <w:rPr>
          <w:shd w:fill="EEEEEE" w:val="clear"/>
        </w:rPr>
        <w:t xml:space="preserve">Die Maßnahmen der folgenden Abschnitte MÜSSEN, sofern eine entsprechende Funktionalität gegeben ist, für Speicherorte (siehe Abschnitt </w:t>
      </w:r>
      <w:r>
        <w:rPr>
          <w:shd w:fill="EEEEEE" w:val="clear"/>
        </w:rPr>
        <w:fldChar w:fldCharType="begin"/>
      </w:r>
      <w:r>
        <w:rPr>
          <w:shd w:fill="EEEEEE" w:val="clear"/>
        </w:rPr>
        <w:instrText xml:space="preserve"> REF _Ref179188907 \n \n \h </w:instrText>
      </w:r>
      <w:r>
        <w:rPr>
          <w:shd w:fill="EEEEEE" w:val="clear"/>
        </w:rPr>
        <w:fldChar w:fldCharType="separate"/>
      </w:r>
      <w:r>
        <w:rPr>
          <w:shd w:fill="EEEEEE" w:val="clear"/>
        </w:rPr>
        <w:t>16.2</w:t>
      </w:r>
      <w:r>
        <w:rPr>
          <w:shd w:fill="EEEEEE" w:val="clear"/>
        </w:rPr>
        <w:fldChar w:fldCharType="end"/>
      </w:r>
      <w:r>
        <w:rPr>
          <w:shd w:fill="EEEEEE" w:val="clear"/>
        </w:rPr>
        <w:t>), Server, aktive Netzwerkkomponenten und mobile IT-Systeme implementiert werden.</w:t>
      </w:r>
    </w:p>
    <w:p>
      <w:pPr>
        <w:pStyle w:val="Normal"/>
        <w:rPr>
          <w:highlight w:val="none"/>
          <w:shd w:fill="EEEEEE" w:val="clear"/>
        </w:rPr>
      </w:pPr>
      <w:r>
        <w:rPr>
          <w:i/>
          <w:shd w:fill="EEEEEE" w:val="clear"/>
        </w:rPr>
        <w:t>Wenn eine entsprechende Funktionalität nicht gegeben ist, SOLLTEN die dadurch entstehenden Risiken identifiziert, analysiert und behandelt werden (siehe</w:t>
      </w:r>
      <w:r>
        <w:rPr>
          <w:spacing w:val="-2"/>
          <w:shd w:fill="EEEEEE" w:val="clear"/>
        </w:rPr>
        <w:t xml:space="preserve"> </w:t>
      </w:r>
      <w:r>
        <w:rPr>
          <w:i/>
          <w:iCs/>
          <w:spacing w:val="-2"/>
          <w:shd w:fill="EEEEEE" w:val="clear"/>
        </w:rPr>
        <w:t>Anhang</w:t>
      </w:r>
      <w:r>
        <w:rPr>
          <w:i/>
          <w:shd w:fill="EEEEEE" w:val="clear"/>
        </w:rPr>
        <w:t xml:space="preserve"> </w:t>
      </w:r>
      <w:r>
        <w:rPr>
          <w:i/>
          <w:shd w:fill="EEEEEE" w:val="clear"/>
        </w:rPr>
        <w:fldChar w:fldCharType="begin"/>
      </w:r>
      <w:r>
        <w:rPr>
          <w:i/>
          <w:shd w:fill="EEEEEE" w:val="clear"/>
        </w:rPr>
        <w:instrText xml:space="preserve"> REF _Ref179188860 \n \n \h </w:instrText>
      </w:r>
      <w:r>
        <w:rPr>
          <w:i/>
          <w:shd w:fill="EEEEEE" w:val="clear"/>
        </w:rPr>
        <w:fldChar w:fldCharType="separate"/>
      </w:r>
      <w:r>
        <w:rPr>
          <w:i/>
          <w:shd w:fill="EEEEEE" w:val="clear"/>
        </w:rPr>
        <w:t>A.2</w:t>
      </w:r>
      <w:r>
        <w:rPr>
          <w:i/>
          <w:shd w:fill="EEEEEE" w:val="clear"/>
        </w:rPr>
        <w:fldChar w:fldCharType="end"/>
      </w:r>
      <w:r>
        <w:rPr>
          <w:i/>
          <w:shd w:fill="EEEEEE" w:val="clear"/>
        </w:rPr>
        <w:t>).</w:t>
      </w:r>
    </w:p>
    <w:p>
      <w:pPr>
        <w:pStyle w:val="Normal"/>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_Ref179188878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24" w:name="__RefHeading___Toc32110_2021121348"/>
      <w:bookmarkStart w:id="925" w:name="_Toc178761407"/>
      <w:bookmarkStart w:id="926" w:name="_Ref184204739"/>
      <w:bookmarkStart w:id="927" w:name="_Toc187327144"/>
      <w:bookmarkEnd w:id="924"/>
      <w:r>
        <w:rPr>
          <w:lang w:val="de-DE"/>
        </w:rPr>
        <w:t>IT-Systeme für die Datensicherung und -wiederherstellung</w:t>
      </w:r>
      <w:bookmarkEnd w:id="925"/>
      <w:bookmarkEnd w:id="926"/>
      <w:bookmarkEnd w:id="927"/>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18"/>
      <w:r>
        <w:rPr>
          <w:lang w:val="de-DE"/>
        </w:rPr>
        <w:t>Dazu sind die folgenden Punkte umzusetzen</w:t>
      </w:r>
      <w:r>
        <w:rPr>
          <w:lang w:val="de-DE"/>
        </w:rPr>
      </w:r>
      <w:commentRangeEnd w:id="18"/>
      <w:r>
        <w:commentReference w:id="18"/>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highlight w:val="none"/>
          <w:shd w:fill="EEEEEE" w:val="clear"/>
          <w:lang w:val="de-DE"/>
        </w:rPr>
      </w:pPr>
      <w:bookmarkStart w:id="928" w:name="__RefHeading___speicherorte_110"/>
      <w:bookmarkStart w:id="929" w:name="rl%252525252525252525252525252525252522n"/>
      <w:bookmarkStart w:id="930" w:name="_Toc187327145"/>
      <w:bookmarkStart w:id="931" w:name="_Toc178761408"/>
      <w:bookmarkStart w:id="932" w:name="_Toc530662975"/>
      <w:bookmarkStart w:id="933" w:name="speicherorte"/>
      <w:bookmarkStart w:id="934" w:name="_Toc531165110"/>
      <w:bookmarkEnd w:id="928"/>
      <w:bookmarkEnd w:id="929"/>
      <w:r>
        <w:rPr>
          <w:shd w:fill="EEEEEE" w:val="clear"/>
          <w:lang w:val="de-DE"/>
        </w:rPr>
        <w:t>Speicherorte</w:t>
      </w:r>
      <w:bookmarkEnd w:id="930"/>
      <w:bookmarkEnd w:id="931"/>
      <w:bookmarkEnd w:id="932"/>
      <w:bookmarkEnd w:id="933"/>
      <w:bookmarkEnd w:id="934"/>
    </w:p>
    <w:p>
      <w:pPr>
        <w:pStyle w:val="Normal"/>
        <w:rPr>
          <w:highlight w:val="none"/>
          <w:shd w:fill="EEEEEE" w:val="clear"/>
        </w:rPr>
      </w:pPr>
      <w:r>
        <w:rPr>
          <w:shd w:fill="EEEEEE" w:val="clear"/>
          <w:lang w:val="de-DE"/>
        </w:rPr>
        <w:t>Speicherorte MÜSSEN so gesichert werden, dass ihr letzter vollständig wiederherstellbarer Zustand nicht älter als 24 Stunden ist.</w:t>
      </w:r>
    </w:p>
    <w:p>
      <w:pPr>
        <w:pStyle w:val="Heading3"/>
        <w:ind w:hanging="0" w:left="0"/>
        <w:rPr>
          <w:highlight w:val="none"/>
          <w:shd w:fill="EEEEEE" w:val="clear"/>
        </w:rPr>
      </w:pPr>
      <w:bookmarkStart w:id="935" w:name="__RefHeading___server_111"/>
      <w:bookmarkStart w:id="936" w:name="_Toc530662976"/>
      <w:bookmarkStart w:id="937" w:name="_Toc187327146"/>
      <w:bookmarkStart w:id="938" w:name="server"/>
      <w:bookmarkStart w:id="939" w:name="_Toc531165111"/>
      <w:bookmarkStart w:id="940" w:name="_Toc178761409"/>
      <w:bookmarkStart w:id="941" w:name="rl%252525252525252525252525252525252522o"/>
      <w:bookmarkEnd w:id="935"/>
      <w:bookmarkEnd w:id="941"/>
      <w:r>
        <w:rPr>
          <w:shd w:fill="EEEEEE" w:val="clear"/>
          <w:lang w:val="de-DE"/>
        </w:rPr>
        <w:t>Server</w:t>
      </w:r>
      <w:bookmarkEnd w:id="936"/>
      <w:bookmarkEnd w:id="937"/>
      <w:bookmarkEnd w:id="938"/>
      <w:bookmarkEnd w:id="939"/>
      <w:bookmarkEnd w:id="940"/>
    </w:p>
    <w:p>
      <w:pPr>
        <w:pStyle w:val="Normal"/>
        <w:rPr>
          <w:highlight w:val="none"/>
          <w:shd w:fill="EEEEEE" w:val="clear"/>
        </w:rPr>
      </w:pPr>
      <w:r>
        <w:rPr>
          <w:spacing w:val="-2"/>
          <w:shd w:fill="EEEEEE" w:val="clea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highlight w:val="none"/>
          <w:shd w:fill="EEEEEE" w:val="clear"/>
        </w:rPr>
      </w:pPr>
      <w:bookmarkStart w:id="942" w:name="__RefHeading___aktive_netzwerkkomponente"/>
      <w:bookmarkStart w:id="943" w:name="_Toc178761410"/>
      <w:bookmarkStart w:id="944" w:name="_Toc530662977"/>
      <w:bookmarkStart w:id="945" w:name="rl%252525252525252525252525252525252522p"/>
      <w:bookmarkStart w:id="946" w:name="_Toc187327147"/>
      <w:bookmarkStart w:id="947" w:name="_Toc531165112"/>
      <w:bookmarkStart w:id="948" w:name="aktive_netzwerkkomponenten1"/>
      <w:bookmarkEnd w:id="942"/>
      <w:bookmarkEnd w:id="945"/>
      <w:r>
        <w:rPr>
          <w:shd w:fill="EEEEEE" w:val="clear"/>
          <w:lang w:val="de-DE"/>
        </w:rPr>
        <w:t>Aktive Netzwerkkomponenten</w:t>
      </w:r>
      <w:bookmarkEnd w:id="943"/>
      <w:bookmarkEnd w:id="944"/>
      <w:bookmarkEnd w:id="946"/>
      <w:bookmarkEnd w:id="947"/>
      <w:bookmarkEnd w:id="948"/>
    </w:p>
    <w:p>
      <w:pPr>
        <w:pStyle w:val="Normal"/>
        <w:rPr>
          <w:highlight w:val="none"/>
          <w:shd w:fill="EEEEEE" w:val="clear"/>
        </w:rPr>
      </w:pPr>
      <w:r>
        <w:rPr>
          <w:shd w:fill="EEEEEE" w:val="clear"/>
          <w:lang w:val="de-DE"/>
        </w:rPr>
        <w:t>Systemsoftware und Konfiguration der aktiven Netzwerkkomponenten MÜSSEN initial und nach jeder Änderung gesichert werden.</w:t>
      </w:r>
    </w:p>
    <w:p>
      <w:pPr>
        <w:pStyle w:val="Heading3"/>
        <w:ind w:hanging="0" w:left="0"/>
        <w:rPr>
          <w:highlight w:val="none"/>
          <w:shd w:fill="EEEEEE" w:val="clear"/>
        </w:rPr>
      </w:pPr>
      <w:bookmarkStart w:id="949" w:name="__RefHeading___mobile_it-systeme_113"/>
      <w:bookmarkStart w:id="950" w:name="mobile_it-systeme"/>
      <w:bookmarkStart w:id="951" w:name="rl%252525252525252525252525252525252522q"/>
      <w:bookmarkStart w:id="952" w:name="_Toc178761411"/>
      <w:bookmarkStart w:id="953" w:name="_Toc530662978"/>
      <w:bookmarkStart w:id="954" w:name="_Toc187327148"/>
      <w:bookmarkStart w:id="955" w:name="_Toc531165113"/>
      <w:bookmarkEnd w:id="949"/>
      <w:bookmarkEnd w:id="951"/>
      <w:r>
        <w:rPr>
          <w:shd w:fill="EEEEEE" w:val="clear"/>
          <w:lang w:val="de-DE"/>
        </w:rPr>
        <w:t>Mobile IT-Systeme</w:t>
      </w:r>
      <w:bookmarkEnd w:id="950"/>
      <w:bookmarkEnd w:id="952"/>
      <w:bookmarkEnd w:id="953"/>
      <w:bookmarkEnd w:id="954"/>
      <w:bookmarkEnd w:id="955"/>
    </w:p>
    <w:p>
      <w:pPr>
        <w:pStyle w:val="10000-DefaultParagraph"/>
        <w:rPr>
          <w:highlight w:val="none"/>
          <w:shd w:fill="EEEEEE" w:val="clear"/>
        </w:rPr>
      </w:pPr>
      <w:r>
        <w:rPr>
          <w:shd w:fill="EEEEEE" w:val="clear"/>
          <w:lang w:val="de-DE"/>
        </w:rPr>
        <w:t>Es MUSS eine Vorgehensweise für die Datensicherung von mobilen IT-Systemen</w:t>
      </w:r>
      <w:r>
        <w:rPr/>
        <w:commentReference w:id="19"/>
      </w:r>
      <w:r>
        <w:rPr>
          <w:shd w:fill="EEEEEE" w:val="clear"/>
          <w:lang w:val="de-DE"/>
        </w:rPr>
        <w:t xml:space="preserve"> von einem Administrator vorgegeben werden.</w:t>
      </w:r>
    </w:p>
    <w:p>
      <w:pPr>
        <w:pStyle w:val="Heading2"/>
        <w:ind w:hanging="0" w:left="0"/>
        <w:rPr>
          <w:lang w:val="de-DE"/>
        </w:rPr>
      </w:pPr>
      <w:bookmarkStart w:id="956" w:name="__RefHeading___Toc32112_2021121348"/>
      <w:bookmarkStart w:id="957" w:name="_Toc531165114"/>
      <w:bookmarkStart w:id="958" w:name="_Toc178761412"/>
      <w:bookmarkStart w:id="959" w:name="_Toc187327149"/>
      <w:bookmarkStart w:id="960" w:name="_Toc178588114"/>
      <w:bookmarkStart w:id="961" w:name="_Toc530662979"/>
      <w:bookmarkStart w:id="962" w:name="rl%252525252525252525252525252525252522r"/>
      <w:bookmarkEnd w:id="956"/>
      <w:bookmarkEnd w:id="962"/>
      <w:r>
        <w:rPr>
          <w:lang w:val="de-DE"/>
        </w:rPr>
        <w:t>Zusätzliche Maßnahmen für wichtige IT-Systeme</w:t>
      </w:r>
      <w:bookmarkEnd w:id="957"/>
      <w:bookmarkEnd w:id="958"/>
      <w:bookmarkEnd w:id="959"/>
      <w:bookmarkEnd w:id="960"/>
      <w:bookmarkEnd w:id="961"/>
    </w:p>
    <w:p>
      <w:pPr>
        <w:pStyle w:val="Heading3"/>
        <w:ind w:hanging="0" w:left="0"/>
        <w:rPr>
          <w:lang w:val="de-DE"/>
        </w:rPr>
      </w:pPr>
      <w:bookmarkStart w:id="963" w:name="__RefHeading___Toc32114_2021121348"/>
      <w:bookmarkStart w:id="964" w:name="_Toc187327150"/>
      <w:bookmarkStart w:id="965" w:name="_Ref179187386"/>
      <w:bookmarkEnd w:id="963"/>
      <w:r>
        <w:rPr>
          <w:lang w:val="de-DE"/>
        </w:rPr>
        <w:t>Datensicherung</w:t>
      </w:r>
      <w:bookmarkEnd w:id="964"/>
      <w:bookmarkEnd w:id="965"/>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66" w:name="__RefHeading___risikoanalyse_116"/>
      <w:bookmarkStart w:id="967" w:name="risikoanalyse"/>
      <w:bookmarkStart w:id="968" w:name="_Toc178761413"/>
      <w:bookmarkStart w:id="969" w:name="_Toc530662980"/>
      <w:bookmarkStart w:id="970" w:name="_Toc531165115"/>
      <w:bookmarkStart w:id="971" w:name="rl%252525252525252525252525252525252522s"/>
      <w:bookmarkStart w:id="972" w:name="_Toc187327151"/>
      <w:bookmarkEnd w:id="966"/>
      <w:bookmarkEnd w:id="971"/>
      <w:r>
        <w:rPr>
          <w:lang w:val="de-DE"/>
        </w:rPr>
        <w:t>Risikoanalyse</w:t>
      </w:r>
      <w:bookmarkEnd w:id="967"/>
      <w:bookmarkEnd w:id="968"/>
      <w:bookmarkEnd w:id="969"/>
      <w:bookmarkEnd w:id="970"/>
      <w:bookmarkEnd w:id="972"/>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73" w:name="__RefHeading___verfahren_117"/>
      <w:bookmarkStart w:id="974" w:name="_Toc178761414"/>
      <w:bookmarkStart w:id="975" w:name="verfahren1"/>
      <w:bookmarkStart w:id="976" w:name="_Toc187327152"/>
      <w:bookmarkStart w:id="977" w:name="_Toc531165116"/>
      <w:bookmarkStart w:id="978" w:name="_Toc530662981"/>
      <w:bookmarkStart w:id="979" w:name="rl%252525252525252525252525252525252522t"/>
      <w:bookmarkEnd w:id="973"/>
      <w:bookmarkEnd w:id="979"/>
      <w:r>
        <w:rPr>
          <w:lang w:val="de-DE"/>
        </w:rPr>
        <w:t>Verfahren</w:t>
      </w:r>
      <w:bookmarkEnd w:id="974"/>
      <w:bookmarkEnd w:id="975"/>
      <w:bookmarkEnd w:id="976"/>
      <w:bookmarkEnd w:id="977"/>
      <w:bookmarkEnd w:id="978"/>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33"/>
        </w:numPr>
        <w:rPr>
          <w:lang w:val="de-DE"/>
        </w:rPr>
      </w:pPr>
      <w:r>
        <w:rPr>
          <w:shd w:fill="auto" w:val="clear"/>
          <w:lang w:val="de-DE"/>
        </w:rPr>
        <w:t xml:space="preserve">Wichtige </w:t>
      </w:r>
      <w:r>
        <w:rPr>
          <w:lang w:val="de-DE"/>
        </w:rPr>
        <w:t>IT-Systeme werden vollständig gesichert (Systemsoftware, Konfigurationen, Anwendungssoftware, Anwendungs-, Logdaten usw.).</w:t>
      </w:r>
    </w:p>
    <w:p>
      <w:pPr>
        <w:pStyle w:val="10000-DefaultParagraph"/>
        <w:numPr>
          <w:ilvl w:val="0"/>
          <w:numId w:val="434"/>
        </w:numPr>
        <w:rPr>
          <w:lang w:val="de-DE"/>
        </w:rPr>
      </w:pPr>
      <w:r>
        <w:rPr>
          <w:lang w:val="de-DE"/>
        </w:rPr>
        <w:t>Der MTD wird nicht überschritten.</w:t>
      </w:r>
    </w:p>
    <w:p>
      <w:pPr>
        <w:pStyle w:val="10000-DefaultParagraph"/>
        <w:numPr>
          <w:ilvl w:val="0"/>
          <w:numId w:val="435"/>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80" w:name="del_testsdel1"/>
      <w:bookmarkEnd w:id="980"/>
    </w:p>
    <w:p>
      <w:pPr>
        <w:pStyle w:val="Heading1"/>
        <w:ind w:hanging="0" w:left="0"/>
        <w:rPr>
          <w:lang w:val="de-DE"/>
        </w:rPr>
      </w:pPr>
      <w:bookmarkStart w:id="981" w:name="__RefHeading___Toc32116_2021121348"/>
      <w:bookmarkStart w:id="982" w:name="_Toc531165117_Copy_1_Copy_1_Copy_1_Copy_"/>
      <w:bookmarkStart w:id="983" w:name="_Ref179378695"/>
      <w:bookmarkStart w:id="984" w:name="_Ref179186901"/>
      <w:bookmarkStart w:id="985" w:name="_Toc178761415"/>
      <w:bookmarkStart w:id="986" w:name="_Toc187327153"/>
      <w:bookmarkStart w:id="987" w:name="_Toc178588115"/>
      <w:bookmarkStart w:id="988" w:name="_Ref179188750"/>
      <w:bookmarkStart w:id="989" w:name="_Ref178761991"/>
      <w:bookmarkStart w:id="990" w:name="_Toc530662982_Copy_1_Copy_1_Copy_1_Copy_"/>
      <w:bookmarkStart w:id="991" w:name="stoerungen_und_ausfaelle_Copy_1_Copy_1_C"/>
      <w:bookmarkStart w:id="992" w:name="_Ref179187629"/>
      <w:bookmarkEnd w:id="981"/>
      <w:bookmarkEnd w:id="982"/>
      <w:bookmarkEnd w:id="990"/>
      <w:bookmarkEnd w:id="991"/>
      <w:r>
        <w:rPr>
          <w:lang w:val="de-DE"/>
        </w:rPr>
        <w:t>Sicherheitsvorfälle</w:t>
      </w:r>
      <w:bookmarkEnd w:id="983"/>
      <w:bookmarkEnd w:id="984"/>
      <w:bookmarkEnd w:id="985"/>
      <w:bookmarkEnd w:id="986"/>
      <w:bookmarkEnd w:id="987"/>
      <w:bookmarkEnd w:id="988"/>
      <w:bookmarkEnd w:id="989"/>
      <w:bookmarkEnd w:id="992"/>
      <w:r>
        <w:rPr>
          <w:lang w:val="de-DE"/>
        </w:rPr>
        <w:t xml:space="preserve"> und Krisenmanagement</w:t>
      </w:r>
      <w:r>
        <w:rPr/>
        <w:commentReference w:id="20"/>
      </w:r>
    </w:p>
    <w:p>
      <w:pPr>
        <w:pStyle w:val="Heading2"/>
        <w:ind w:hanging="0" w:left="0"/>
        <w:rPr>
          <w:highlight w:val="none"/>
          <w:shd w:fill="EEEEEE" w:val="clear"/>
        </w:rPr>
      </w:pPr>
      <w:bookmarkStart w:id="993" w:name="__RefHeading___Toc32118_2021121348"/>
      <w:bookmarkStart w:id="994" w:name="_Toc187327154"/>
      <w:bookmarkEnd w:id="993"/>
      <w:r>
        <w:rPr>
          <w:shd w:fill="EEEEEE" w:val="clear"/>
          <w:lang w:val="de-DE"/>
        </w:rPr>
        <w:t>Vorbereitung auf Sicherheitsvorfälle</w:t>
      </w:r>
      <w:bookmarkEnd w:id="994"/>
    </w:p>
    <w:p>
      <w:pPr>
        <w:pStyle w:val="Normal"/>
        <w:rPr>
          <w:highlight w:val="none"/>
          <w:shd w:fill="EEEEEE" w:val="clear"/>
        </w:rPr>
      </w:pPr>
      <w:r>
        <w:rPr>
          <w:shd w:fill="EEEEEE" w:val="clear"/>
        </w:rPr>
        <w:t>Eine angemessene Reaktion auf Sicherheitsvorfälle ermöglicht es, den Regelbetrieb zügig wieder aufzunehmen und so Schäden zu minimieren. Deshalb ist es notwendig, angemessen auf Sicherheitsvorfälle vorbereitet zu sein.</w:t>
      </w:r>
    </w:p>
    <w:p>
      <w:pPr>
        <w:pStyle w:val="Normal"/>
        <w:rPr/>
      </w:pPr>
      <w:r>
        <w:rPr>
          <w:rStyle w:val="Emphasis"/>
          <w:shd w:fill="EEEEEE" w:val="clear"/>
        </w:rPr>
        <w:t>Zu diesem Zweck SOLLTE die Organisation ein Business Continuity Management (BCM) auf Basis eines anerkannten Standards wie BSI-Standard 200-4 oder DIN EN ISO 22301 implementieren.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lang w:val="de-DE"/>
        </w:rPr>
      </w:pPr>
      <w:bookmarkStart w:id="995" w:name="__RefHeading___Toc32120_2021121348"/>
      <w:bookmarkStart w:id="996" w:name="_Toc178761416"/>
      <w:bookmarkStart w:id="997" w:name="rl%252525252525252525252525252525252522u"/>
      <w:bookmarkStart w:id="998" w:name="_Toc531165118"/>
      <w:bookmarkStart w:id="999" w:name="_Toc187327155"/>
      <w:bookmarkStart w:id="1000" w:name="_Toc530662983"/>
      <w:bookmarkStart w:id="1001" w:name="_Toc178588116"/>
      <w:bookmarkStart w:id="1002" w:name="is-richtlinie4"/>
      <w:bookmarkEnd w:id="995"/>
      <w:bookmarkEnd w:id="997"/>
      <w:r>
        <w:rPr>
          <w:lang w:val="de-DE"/>
        </w:rPr>
        <w:t>IS-Richtlinie</w:t>
      </w:r>
      <w:bookmarkEnd w:id="996"/>
      <w:bookmarkEnd w:id="998"/>
      <w:bookmarkEnd w:id="999"/>
      <w:bookmarkEnd w:id="1000"/>
      <w:bookmarkEnd w:id="1001"/>
      <w:bookmarkEnd w:id="1002"/>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36"/>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37"/>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38"/>
        </w:numPr>
        <w:rPr>
          <w:lang w:val="de-DE"/>
        </w:rPr>
      </w:pPr>
      <w:r>
        <w:rPr>
          <w:lang w:val="de-DE"/>
        </w:rPr>
        <w:t>Jeder Mitarbeiter meldet mögliche Sicherheitsvorfälle über die dafür vorgesehenen Meldewege.</w:t>
      </w:r>
    </w:p>
    <w:p>
      <w:pPr>
        <w:pStyle w:val="10000-DefaultParagraph"/>
        <w:numPr>
          <w:ilvl w:val="0"/>
          <w:numId w:val="439"/>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40"/>
        </w:numPr>
        <w:rPr>
          <w:lang w:val="de-DE"/>
        </w:rPr>
      </w:pPr>
      <w:r>
        <w:rPr>
          <w:lang w:val="de-DE"/>
        </w:rPr>
        <w:t>Es wird definiert, in welchen Fällen das Topmanagement über Sicherheitsvorfälle informiert wird.</w:t>
      </w:r>
    </w:p>
    <w:p>
      <w:pPr>
        <w:pStyle w:val="10000-DefaultParagraph"/>
        <w:numPr>
          <w:ilvl w:val="0"/>
          <w:numId w:val="441"/>
        </w:numPr>
        <w:rPr>
          <w:lang w:val="de-DE"/>
        </w:rPr>
      </w:pPr>
      <w:r>
        <w:rPr>
          <w:lang w:val="de-DE"/>
        </w:rPr>
        <w:t>Es wird definiert, wie die Organisation intern und extern akute und bewältigte Sicherheitsvorfälle kommuniziert.</w:t>
      </w:r>
    </w:p>
    <w:p>
      <w:pPr>
        <w:pStyle w:val="Heading2"/>
        <w:ind w:hanging="0" w:left="0"/>
        <w:rPr>
          <w:highlight w:val="none"/>
          <w:shd w:fill="EEEEEE" w:val="clear"/>
        </w:rPr>
      </w:pPr>
      <w:bookmarkStart w:id="1003" w:name="__RefHeading___Toc32122_2021121348"/>
      <w:bookmarkStart w:id="1004" w:name="_Toc187327156"/>
      <w:bookmarkStart w:id="1005" w:name="_Toc178761417"/>
      <w:bookmarkStart w:id="1006" w:name="_Toc178588117"/>
      <w:bookmarkEnd w:id="1003"/>
      <w:r>
        <w:rPr>
          <w:shd w:fill="EEEEEE" w:val="clear"/>
          <w:lang w:val="de-DE"/>
        </w:rPr>
        <w:t>Erkennen</w:t>
      </w:r>
      <w:bookmarkEnd w:id="1004"/>
      <w:bookmarkEnd w:id="1005"/>
      <w:bookmarkEnd w:id="1006"/>
    </w:p>
    <w:p>
      <w:pPr>
        <w:pStyle w:val="10000-Empfehlung"/>
        <w:rPr>
          <w:highlight w:val="none"/>
          <w:shd w:fill="EEEEEE" w:val="clear"/>
        </w:rPr>
      </w:pPr>
      <w:r>
        <w:rPr>
          <w:shd w:fill="EEEEEE" w:val="clea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Erfassen und Auswerten von Logmeldungen</w:t>
      </w:r>
    </w:p>
    <w:p>
      <w:pPr>
        <w:pStyle w:val="10000-Empfehlung"/>
        <w:rPr/>
      </w:pPr>
      <w:r>
        <w:rPr>
          <w:rStyle w:val="Emphasis"/>
          <w:i/>
          <w:shd w:fill="EEEEEE" w:val="clear"/>
          <w:lang w:val="de-DE"/>
        </w:rPr>
        <w:t>Das</w:t>
      </w:r>
      <w:r>
        <w:rPr>
          <w:i/>
          <w:iCs/>
          <w:shd w:fill="EEEEEE" w:val="clear"/>
          <w:lang w:val="de-DE"/>
        </w:rPr>
        <w:t xml:space="preserve"> Melden von Sicherheitsvorfällen SOLLTE durch eine konstruktive Fehlerkultur und/oder anonyme Meldewege gefördert werden.</w:t>
      </w:r>
    </w:p>
    <w:p>
      <w:pPr>
        <w:pStyle w:val="Heading2"/>
        <w:ind w:hanging="0" w:left="0"/>
        <w:rPr>
          <w:lang w:val="de-DE"/>
        </w:rPr>
      </w:pPr>
      <w:bookmarkStart w:id="1007" w:name="__RefHeading___Toc32124_2021121348"/>
      <w:bookmarkStart w:id="1008" w:name="reaktion"/>
      <w:bookmarkStart w:id="1009" w:name="rl%252525252525252525252525252525252522v"/>
      <w:bookmarkStart w:id="1010" w:name="_Toc187327157"/>
      <w:bookmarkStart w:id="1011" w:name="_Toc531165119"/>
      <w:bookmarkStart w:id="1012" w:name="_Toc178761418"/>
      <w:bookmarkStart w:id="1013" w:name="_Toc178588118"/>
      <w:bookmarkStart w:id="1014" w:name="_Toc530662984"/>
      <w:bookmarkEnd w:id="1007"/>
      <w:bookmarkEnd w:id="1009"/>
      <w:r>
        <w:rPr>
          <w:lang w:val="de-DE"/>
        </w:rPr>
        <w:t>Reaktion</w:t>
      </w:r>
      <w:bookmarkEnd w:id="1008"/>
      <w:bookmarkEnd w:id="1010"/>
      <w:bookmarkEnd w:id="1011"/>
      <w:bookmarkEnd w:id="1012"/>
      <w:bookmarkEnd w:id="1013"/>
      <w:bookmarkEnd w:id="1014"/>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42"/>
        </w:numPr>
        <w:rPr>
          <w:lang w:val="de-DE"/>
        </w:rPr>
      </w:pPr>
      <w:r>
        <w:rPr>
          <w:lang w:val="de-DE"/>
        </w:rPr>
        <w:t>Es wird ein Überblick über die Situation gewonnen.</w:t>
      </w:r>
    </w:p>
    <w:p>
      <w:pPr>
        <w:pStyle w:val="10000-DefaultParagraph"/>
        <w:numPr>
          <w:ilvl w:val="0"/>
          <w:numId w:val="443"/>
        </w:numPr>
        <w:rPr>
          <w:lang w:val="de-DE"/>
        </w:rPr>
      </w:pPr>
      <w:r>
        <w:rPr>
          <w:lang w:val="de-DE"/>
        </w:rPr>
        <w:t>Es werden alle erforderlichen Maßnahmen getroffen, um Leib und Leben von Personen zu schützen.</w:t>
      </w:r>
    </w:p>
    <w:p>
      <w:pPr>
        <w:pStyle w:val="10000-DefaultParagraph"/>
        <w:numPr>
          <w:ilvl w:val="0"/>
          <w:numId w:val="444"/>
        </w:numPr>
        <w:rPr>
          <w:lang w:val="de-DE"/>
        </w:rPr>
      </w:pPr>
      <w:r>
        <w:rPr>
          <w:lang w:val="de-DE"/>
        </w:rPr>
        <w:t>Der Schaden wird durch Sofortmaßnahmen eingedämmt.</w:t>
      </w:r>
    </w:p>
    <w:p>
      <w:pPr>
        <w:pStyle w:val="10000-DefaultParagraph"/>
        <w:numPr>
          <w:ilvl w:val="0"/>
          <w:numId w:val="445"/>
        </w:numPr>
        <w:rPr>
          <w:lang w:val="de-DE"/>
        </w:rPr>
      </w:pPr>
      <w:r>
        <w:rPr>
          <w:lang w:val="de-DE"/>
        </w:rPr>
        <w:t>Der Sicherheitsvorfall und der Schaden werden so dokumentiert, dass die Organisation ihre Informationspflichten erfüllen kann.</w:t>
      </w:r>
    </w:p>
    <w:p>
      <w:pPr>
        <w:pStyle w:val="10000-DefaultParagraph"/>
        <w:numPr>
          <w:ilvl w:val="0"/>
          <w:numId w:val="446"/>
        </w:numPr>
        <w:rPr>
          <w:lang w:val="de-DE"/>
        </w:rPr>
      </w:pPr>
      <w:r>
        <w:rPr>
          <w:lang w:val="de-DE"/>
        </w:rPr>
        <w:t>Entsprechende Stellen wie Versicherungen und Aufsichtsbehörden werden zeitnah informiert.</w:t>
      </w:r>
    </w:p>
    <w:p>
      <w:pPr>
        <w:pStyle w:val="10000-DefaultParagraph"/>
        <w:numPr>
          <w:ilvl w:val="0"/>
          <w:numId w:val="447"/>
        </w:numPr>
        <w:rPr>
          <w:lang w:val="de-DE"/>
        </w:rPr>
      </w:pPr>
      <w:r>
        <w:rPr>
          <w:lang w:val="de-DE"/>
        </w:rPr>
        <w:t>Beweismittel werden gesichert.</w:t>
      </w:r>
    </w:p>
    <w:p>
      <w:pPr>
        <w:pStyle w:val="10000-DefaultParagraph"/>
        <w:numPr>
          <w:ilvl w:val="0"/>
          <w:numId w:val="448"/>
        </w:numPr>
        <w:rPr>
          <w:lang w:val="de-DE"/>
        </w:rPr>
      </w:pPr>
      <w:r>
        <w:rPr>
          <w:lang w:val="de-DE"/>
        </w:rPr>
        <w:t>Der Schaden wird behoben und der Regelbetrieb wieder aufgenommen.</w:t>
      </w:r>
    </w:p>
    <w:p>
      <w:pPr>
        <w:pStyle w:val="10000-DefaultParagraph"/>
        <w:numPr>
          <w:ilvl w:val="0"/>
          <w:numId w:val="449"/>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50"/>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51"/>
        </w:numPr>
        <w:rPr/>
      </w:pPr>
      <w:commentRangeStart w:id="21"/>
      <w:r>
        <w:rPr>
          <w:rStyle w:val="Emphasis"/>
          <w:i w:val="false"/>
          <w:iCs w:val="false"/>
          <w:lang w:val="de-DE"/>
        </w:rPr>
        <w:t>Der Sicherheitsvorfall wird von Beginn an fortlaufend so dokumentiert, dass die Organisation ihre Informationspflichten erfüllen kann.</w:t>
      </w:r>
      <w:commentRangeEnd w:id="21"/>
      <w:r>
        <w:commentReference w:id="21"/>
      </w:r>
      <w:r>
        <w:rPr>
          <w:rStyle w:val="Emphasis"/>
          <w:i w:val="false"/>
          <w:iCs w:val="false"/>
          <w:lang w:val="de-DE"/>
        </w:rPr>
      </w:r>
    </w:p>
    <w:p>
      <w:pPr>
        <w:pStyle w:val="Normal"/>
        <w:numPr>
          <w:ilvl w:val="0"/>
          <w:numId w:val="452"/>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53"/>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54"/>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55"/>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6"/>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15" w:name="__RefHeading___Toc32126_2021121348"/>
      <w:bookmarkStart w:id="1016" w:name="_Toc530662985"/>
      <w:bookmarkStart w:id="1017" w:name="_Toc187327158"/>
      <w:bookmarkStart w:id="1018" w:name="_Toc178761419"/>
      <w:bookmarkStart w:id="1019" w:name="_Toc178588119"/>
      <w:bookmarkStart w:id="1020" w:name="_Toc531165120"/>
      <w:bookmarkStart w:id="1021" w:name="zusaetzliche_massnahmen_fuer_kritische_i"/>
      <w:bookmarkStart w:id="1022" w:name="rl%252525252525252525252525252525252522w"/>
      <w:bookmarkEnd w:id="1015"/>
      <w:bookmarkEnd w:id="1022"/>
      <w:r>
        <w:rPr>
          <w:lang w:val="de-DE"/>
        </w:rPr>
        <w:t>Zusätzliche Maßnahmen für wichtige IT-Systeme</w:t>
      </w:r>
      <w:bookmarkEnd w:id="1016"/>
      <w:bookmarkEnd w:id="1017"/>
      <w:bookmarkEnd w:id="1018"/>
      <w:bookmarkEnd w:id="1019"/>
      <w:bookmarkEnd w:id="1020"/>
      <w:bookmarkEnd w:id="1021"/>
    </w:p>
    <w:p>
      <w:pPr>
        <w:pStyle w:val="Heading3"/>
        <w:ind w:hanging="0" w:left="0"/>
        <w:rPr>
          <w:lang w:val="de-DE"/>
        </w:rPr>
      </w:pPr>
      <w:bookmarkStart w:id="1023" w:name="__RefHeading___Toc32128_2021121348"/>
      <w:bookmarkStart w:id="1024" w:name="_Toc187327159"/>
      <w:bookmarkEnd w:id="1023"/>
      <w:r>
        <w:rPr>
          <w:lang w:val="de-DE"/>
        </w:rPr>
        <w:t>Anforderungen</w:t>
      </w:r>
      <w:bookmarkEnd w:id="1024"/>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25" w:name="__RefHeading___wiederanlaufplaene_123"/>
      <w:bookmarkStart w:id="1026" w:name="wiederanlaufplaene"/>
      <w:bookmarkStart w:id="1027" w:name="_Toc187327160"/>
      <w:bookmarkStart w:id="1028" w:name="_Toc178761420"/>
      <w:bookmarkStart w:id="1029" w:name="_Toc530662986"/>
      <w:bookmarkStart w:id="1030" w:name="_Toc531165121"/>
      <w:bookmarkStart w:id="1031" w:name="rl%252525252525252525252525252525252522x"/>
      <w:bookmarkEnd w:id="1025"/>
      <w:bookmarkEnd w:id="1031"/>
      <w:r>
        <w:rPr>
          <w:lang w:val="de-DE"/>
        </w:rPr>
        <w:t>Wiederanlaufpläne</w:t>
      </w:r>
      <w:bookmarkEnd w:id="1026"/>
      <w:bookmarkEnd w:id="1027"/>
      <w:bookmarkEnd w:id="1028"/>
      <w:bookmarkEnd w:id="1029"/>
      <w:bookmarkEnd w:id="1030"/>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57"/>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58"/>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59"/>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0"/>
        </w:numPr>
        <w:rPr>
          <w:lang w:val="de-DE"/>
        </w:rPr>
      </w:pPr>
      <w:r>
        <w:rPr>
          <w:lang w:val="de-DE"/>
        </w:rPr>
        <w:t>Es ist verständlich und übersichtlich strukturiert.</w:t>
      </w:r>
    </w:p>
    <w:p>
      <w:pPr>
        <w:pStyle w:val="10000-DefaultParagraph"/>
        <w:numPr>
          <w:ilvl w:val="0"/>
          <w:numId w:val="461"/>
        </w:numPr>
        <w:rPr>
          <w:lang w:val="de-DE"/>
        </w:rPr>
      </w:pPr>
      <w:r>
        <w:rPr>
          <w:lang w:val="de-DE"/>
        </w:rPr>
        <w:t>Es kann im Bedarfsfall schnell aktiviert werden.</w:t>
      </w:r>
    </w:p>
    <w:p>
      <w:pPr>
        <w:pStyle w:val="10000-DefaultParagraph"/>
        <w:numPr>
          <w:ilvl w:val="0"/>
          <w:numId w:val="462"/>
        </w:numPr>
        <w:rPr>
          <w:lang w:val="de-DE"/>
        </w:rPr>
      </w:pPr>
      <w:r>
        <w:rPr>
          <w:lang w:val="de-DE"/>
        </w:rPr>
        <w:t>Es wird in einem anderen Brandabschnitt als das betreffende IT-System aufbewahrt.</w:t>
      </w:r>
    </w:p>
    <w:p>
      <w:pPr>
        <w:pStyle w:val="Heading3"/>
        <w:ind w:hanging="0" w:left="0"/>
        <w:rPr>
          <w:highlight w:val="none"/>
          <w:shd w:fill="EEEEEE" w:val="clear"/>
        </w:rPr>
      </w:pPr>
      <w:bookmarkStart w:id="1032" w:name="__RefHeading___abhaengigkeiten_124"/>
      <w:bookmarkStart w:id="1033" w:name="abhaengigkeiten"/>
      <w:bookmarkStart w:id="1034" w:name="_Toc530662987"/>
      <w:bookmarkStart w:id="1035" w:name="_Toc178761421"/>
      <w:bookmarkStart w:id="1036" w:name="_Toc531165122"/>
      <w:bookmarkStart w:id="1037" w:name="rl%252525252525252525252525252525252522y"/>
      <w:bookmarkStart w:id="1038" w:name="_Toc187327161"/>
      <w:bookmarkEnd w:id="1032"/>
      <w:bookmarkEnd w:id="1037"/>
      <w:r>
        <w:rPr>
          <w:shd w:fill="EEEEEE" w:val="clear"/>
          <w:lang w:val="de-DE"/>
        </w:rPr>
        <w:t>Abhängigkeiten</w:t>
      </w:r>
      <w:bookmarkEnd w:id="1033"/>
      <w:bookmarkEnd w:id="1034"/>
      <w:bookmarkEnd w:id="1035"/>
      <w:bookmarkEnd w:id="1036"/>
      <w:bookmarkEnd w:id="1038"/>
    </w:p>
    <w:p>
      <w:pPr>
        <w:pStyle w:val="Normal"/>
        <w:rPr>
          <w:highlight w:val="none"/>
          <w:shd w:fill="EEEEEE" w:val="clear"/>
        </w:rPr>
      </w:pPr>
      <w:r>
        <w:rPr>
          <w:shd w:fill="EEEEEE" w:val="clear"/>
        </w:rPr>
        <w:t>Es MÜSSEN die Abhängigkeiten der kritischen IT-Systeme untereinander dokumentiert werden.</w:t>
      </w:r>
    </w:p>
    <w:p>
      <w:pPr>
        <w:pStyle w:val="Normal"/>
        <w:rPr>
          <w:highlight w:val="none"/>
          <w:shd w:fill="EEEEEE" w:val="clear"/>
        </w:rPr>
      </w:pPr>
      <w:r>
        <w:rPr>
          <w:i/>
          <w:shd w:fill="EEEEEE" w:val="clear"/>
        </w:rPr>
        <w:t>Darüber hinaus SOLLTEN die Abhängigkeiten der kritischen IT-Systeme von sämtlichen kritischen IT-Ressourcen dokumentiert und dabei die Notwendigkeit weiterer Wiederanlaufpläne geprüft werden.</w:t>
      </w:r>
    </w:p>
    <w:p>
      <w:pPr>
        <w:pStyle w:val="Normal"/>
        <w:rPr>
          <w:highlight w:val="none"/>
          <w:shd w:fill="EEEEEE" w:val="clear"/>
        </w:rPr>
      </w:pPr>
      <w:r>
        <w:rPr>
          <w:shd w:fill="EEEEEE" w:val="clear"/>
        </w:rPr>
        <w:t>Die Dokumentation MUSS folgende Anforderungen erfüllen:</w:t>
      </w:r>
    </w:p>
    <w:p>
      <w:pPr>
        <w:pStyle w:val="Liste1"/>
        <w:numPr>
          <w:ilvl w:val="0"/>
          <w:numId w:val="463"/>
        </w:numPr>
        <w:spacing w:lineRule="auto" w:line="250"/>
        <w:rPr>
          <w:highlight w:val="none"/>
          <w:shd w:fill="EEEEEE" w:val="clear"/>
        </w:rPr>
      </w:pPr>
      <w:r>
        <w:rPr>
          <w:shd w:fill="EEEEEE" w:val="clear"/>
        </w:rPr>
        <w:t>Aus ihr geht eindeutig hervor, in welcher Reihenfolge die kritischen IT-Systeme wiederhergestellt werden müssen.</w:t>
      </w:r>
    </w:p>
    <w:p>
      <w:pPr>
        <w:pStyle w:val="Liste1"/>
        <w:numPr>
          <w:ilvl w:val="0"/>
          <w:numId w:val="464"/>
        </w:numPr>
        <w:spacing w:lineRule="auto" w:line="250"/>
        <w:rPr>
          <w:highlight w:val="none"/>
          <w:shd w:fill="EEEEEE" w:val="clear"/>
        </w:rPr>
      </w:pPr>
      <w:r>
        <w:rPr>
          <w:shd w:fill="EEEEEE" w:val="clear"/>
        </w:rPr>
        <w:t>Sie ist verständlich und übersichtlich strukturiert.</w:t>
      </w:r>
    </w:p>
    <w:p>
      <w:pPr>
        <w:pStyle w:val="Liste1"/>
        <w:numPr>
          <w:ilvl w:val="0"/>
          <w:numId w:val="465"/>
        </w:numPr>
        <w:spacing w:lineRule="auto" w:line="250"/>
        <w:rPr>
          <w:highlight w:val="none"/>
          <w:shd w:fill="EEEEEE" w:val="clear"/>
        </w:rPr>
      </w:pPr>
      <w:r>
        <w:rPr>
          <w:shd w:fill="EEEEEE" w:val="clear"/>
        </w:rPr>
        <w:t>Sie ist im Bedarfsfall schnell verfügbar.</w:t>
      </w:r>
    </w:p>
    <w:p>
      <w:pPr>
        <w:pStyle w:val="Liste1"/>
        <w:numPr>
          <w:ilvl w:val="0"/>
          <w:numId w:val="466"/>
        </w:numPr>
        <w:spacing w:lineRule="auto" w:line="250"/>
        <w:rPr>
          <w:highlight w:val="none"/>
          <w:shd w:fill="EEEEEE" w:val="clear"/>
        </w:rPr>
      </w:pPr>
      <w:r>
        <w:rPr>
          <w:shd w:fill="EEEEEE" w:val="clear"/>
          <w:lang w:val="de-DE"/>
        </w:rPr>
        <w:t>Sie wird in einem anderen Brandabschnitt als das betreffende IT-System aufbewahrt.</w:t>
      </w:r>
    </w:p>
    <w:p>
      <w:pPr>
        <w:pStyle w:val="Heading2"/>
        <w:ind w:hanging="0" w:left="0"/>
        <w:rPr>
          <w:lang w:val="de-DE"/>
        </w:rPr>
      </w:pPr>
      <w:bookmarkStart w:id="1039" w:name="__RefHeading___Toc42893_2021121348"/>
      <w:bookmarkEnd w:id="1039"/>
      <w:r>
        <w:rPr>
          <w:lang w:val="de-DE"/>
        </w:rPr>
        <w:t>Zentrale Prozesse und Prozesse mit hohem Schadenspotential</w:t>
      </w:r>
      <w:r>
        <w:rPr/>
        <w:commentReference w:id="22"/>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40" w:name="__RefHeading___Toc42895_2021121348"/>
      <w:bookmarkEnd w:id="1040"/>
      <w:r>
        <w:rPr>
          <w:lang w:val="de-DE"/>
        </w:rPr>
        <w:t>Lieferanten</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Können wir ggf. in das Kapitel „IT-Outsourcing und Cloud-Computing“ aufnehmen </w:t>
            </w:r>
            <w:r>
              <w:rPr>
                <w:rFonts w:eastAsia="Bitstream Vera Sans" w:cs="Bitstream Vera Sans"/>
                <w:color w:val="auto"/>
                <w:kern w:val="0"/>
                <w:sz w:val="20"/>
                <w:szCs w:val="24"/>
                <w:lang w:val="de-DE" w:eastAsia="en-US" w:bidi="en-US"/>
              </w:rPr>
              <w:t xml:space="preserve">oder beid eKapitel verschmelzen. </w:t>
            </w:r>
            <w:r>
              <w:rPr>
                <w:rFonts w:eastAsia="Bitstream Vera Sans" w:cs="Bitstream Vera Sans"/>
                <w:color w:val="auto"/>
                <w:kern w:val="0"/>
                <w:sz w:val="20"/>
                <w:szCs w:val="24"/>
                <w:lang w:val="de-DE" w:eastAsia="en-US" w:bidi="en-US"/>
              </w:rPr>
              <w:t>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41" w:name="__RefHeading___a_1_verfahren_132_Copy_1_"/>
      <w:bookmarkEnd w:id="1041"/>
      <w:r>
        <w:rPr>
          <w:lang w:val="de-DE"/>
        </w:rPr>
        <w:t>18.1</w:t>
      </w:r>
      <w:bookmarkStart w:id="1042" w:name="a_1_verfahren_Copy_1_Copy_1"/>
      <w:r>
        <w:rPr>
          <w:lang w:val="de-DE"/>
        </w:rPr>
        <w:t xml:space="preserve"> </w:t>
      </w:r>
      <w:bookmarkEnd w:id="1042"/>
      <w:r>
        <w:rPr>
          <w:lang w:val="de-DE"/>
        </w:rPr>
        <w:t>Basisschutz</w:t>
      </w:r>
    </w:p>
    <w:p>
      <w:pPr>
        <w:pStyle w:val="Normal"/>
        <w:tabs>
          <w:tab w:val="clear" w:pos="720"/>
          <w:tab w:val="left" w:pos="0" w:leader="none"/>
        </w:tabs>
        <w:bidi w:val="0"/>
        <w:ind w:hanging="0" w:left="0"/>
        <w:jc w:val="left"/>
        <w:rPr>
          <w:lang w:val="de-DE"/>
        </w:rPr>
      </w:pPr>
      <w:r>
        <w:rPr>
          <w:lang w:val="de-DE"/>
        </w:rPr>
        <w:t>Verträge mit Lieferanten schließen (→ VdS 10005).</w:t>
      </w:r>
    </w:p>
    <w:p>
      <w:pPr>
        <w:pStyle w:val="Heading2"/>
        <w:numPr>
          <w:ilvl w:val="1"/>
          <w:numId w:val="29"/>
        </w:numPr>
        <w:tabs>
          <w:tab w:val="clear" w:pos="720"/>
          <w:tab w:val="left" w:pos="0" w:leader="none"/>
        </w:tabs>
        <w:bidi w:val="0"/>
        <w:ind w:hanging="0" w:left="0"/>
        <w:jc w:val="left"/>
        <w:rPr>
          <w:lang w:val="de-DE"/>
        </w:rPr>
      </w:pPr>
      <w:bookmarkStart w:id="1043" w:name="__RefHeading___a_1_verfahren_132_Copy_1"/>
      <w:bookmarkEnd w:id="1043"/>
      <w:r>
        <w:rPr>
          <w:lang w:val="de-DE"/>
        </w:rPr>
        <w:t>18.1</w:t>
      </w:r>
      <w:bookmarkStart w:id="1044" w:name="a_1_verfahren_Copy_1"/>
      <w:r>
        <w:rPr>
          <w:lang w:val="de-DE"/>
        </w:rPr>
        <w:t xml:space="preserve"> Wichtige Lieferanten</w:t>
      </w:r>
      <w:bookmarkEnd w:id="1044"/>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Kritische Lieferanten MÜSSEN d</w:t>
      </w:r>
      <w:r>
        <w:rPr>
          <w:rFonts w:eastAsia="Bitstream Vera Sans" w:cs="Bitstream Vera Sans"/>
          <w:color w:val="auto"/>
          <w:kern w:val="0"/>
          <w:sz w:val="20"/>
          <w:szCs w:val="24"/>
          <w:lang w:val="de-DE" w:eastAsia="en-US" w:bidi="en-US"/>
        </w:rPr>
        <w:t xml:space="preserve">urch geeignete Maßnahmen nachweisen, </w:t>
      </w:r>
      <w:r>
        <w:rPr>
          <w:rFonts w:eastAsia="Bitstream Vera Sans" w:cs="Bitstream Vera Sans"/>
          <w:color w:val="auto"/>
          <w:kern w:val="0"/>
          <w:sz w:val="20"/>
          <w:szCs w:val="24"/>
          <w:lang w:val="de-DE" w:eastAsia="en-US" w:bidi="en-US"/>
        </w:rPr>
        <w:t>dass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50"/>
        </w:numPr>
        <w:bidi w:val="0"/>
        <w:jc w:val="left"/>
        <w:rPr/>
      </w:pPr>
      <w:r>
        <w:rPr>
          <w:rFonts w:eastAsia="Bitstream Vera Sans" w:cs="Bitstream Vera Sans"/>
          <w:color w:val="auto"/>
          <w:kern w:val="0"/>
          <w:sz w:val="20"/>
          <w:szCs w:val="24"/>
          <w:lang w:val="de-DE" w:eastAsia="en-US" w:bidi="en-US"/>
        </w:rPr>
        <w:t>Basisschutzmaßnahmen gem. VdS 10000</w:t>
      </w:r>
    </w:p>
    <w:p>
      <w:pPr>
        <w:pStyle w:val="Tabelleninhalt"/>
        <w:numPr>
          <w:ilvl w:val="0"/>
          <w:numId w:val="250"/>
        </w:numPr>
        <w:bidi w:val="0"/>
        <w:jc w:val="left"/>
        <w:rPr/>
      </w:pPr>
      <w:r>
        <w:rPr>
          <w:rFonts w:eastAsia="Bitstream Vera Sans" w:cs="Bitstream Vera Sans"/>
          <w:color w:val="auto"/>
          <w:kern w:val="0"/>
          <w:sz w:val="20"/>
          <w:szCs w:val="24"/>
          <w:lang w:val="de-DE" w:eastAsia="en-US" w:bidi="en-US"/>
        </w:rPr>
        <w:t>Zertifizierungen (…)</w:t>
      </w:r>
    </w:p>
    <w:p>
      <w:pPr>
        <w:pStyle w:val="Tabelleninhalt"/>
        <w:numPr>
          <w:ilvl w:val="0"/>
          <w:numId w:val="250"/>
        </w:numPr>
        <w:bidi w:val="0"/>
        <w:jc w:val="left"/>
        <w:rPr/>
      </w:pPr>
      <w:r>
        <w:rPr>
          <w:rFonts w:eastAsia="Bitstream Vera Sans" w:cs="Bitstream Vera Sans"/>
          <w:color w:val="auto"/>
          <w:kern w:val="0"/>
          <w:sz w:val="20"/>
          <w:szCs w:val="24"/>
          <w:lang w:val="de-DE" w:eastAsia="en-US" w:bidi="en-US"/>
        </w:rPr>
        <w:t>Sicherheitskonzept</w:t>
      </w:r>
    </w:p>
    <w:p>
      <w:pPr>
        <w:pStyle w:val="Tabelleninhalt"/>
        <w:numPr>
          <w:ilvl w:val="0"/>
          <w:numId w:val="250"/>
        </w:numPr>
        <w:bidi w:val="0"/>
        <w:jc w:val="left"/>
        <w:rPr/>
      </w:pPr>
      <w:r>
        <w:rPr>
          <w:rFonts w:eastAsia="Bitstream Vera Sans" w:cs="Bitstream Vera Sans"/>
          <w:color w:val="auto"/>
          <w:kern w:val="0"/>
          <w:sz w:val="20"/>
          <w:szCs w:val="24"/>
          <w:lang w:val="de-DE" w:eastAsia="en-US" w:bidi="en-US"/>
        </w:rPr>
        <w:t>Prüfung durch Dritte</w:t>
      </w:r>
    </w:p>
    <w:p>
      <w:pPr>
        <w:pStyle w:val="Tabelleninhalt"/>
        <w:numPr>
          <w:ilvl w:val="0"/>
          <w:numId w:val="250"/>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eastAsia="en-US" w:bidi="en-US"/>
        </w:rPr>
        <w:t>(...)</w:t>
      </w:r>
    </w:p>
    <w:p>
      <w:pPr>
        <w:pStyle w:val="Heading2"/>
        <w:numPr>
          <w:ilvl w:val="1"/>
          <w:numId w:val="29"/>
        </w:numPr>
        <w:ind w:hanging="0" w:left="0"/>
        <w:rPr>
          <w:lang w:val="de-DE"/>
        </w:rPr>
      </w:pPr>
      <w:bookmarkStart w:id="1045" w:name="__RefHeading___Toc14606_2994401678"/>
      <w:bookmarkEnd w:id="1045"/>
      <w:r>
        <w:rPr>
          <w:lang w:val="de-DE"/>
        </w:rPr>
        <w:t xml:space="preserve">18.2 </w:t>
      </w:r>
      <w:r>
        <w:rPr>
          <w:lang w:val="de-DE" w:eastAsia="en-US" w:bidi="en-US"/>
        </w:rPr>
        <w:t xml:space="preserve">Kritische </w:t>
      </w:r>
      <w:r>
        <w:rPr>
          <w:lang w:val="de-DE"/>
        </w:rPr>
        <w:t>Lieferanten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
    </w:p>
    <w:p>
      <w:pPr>
        <w:pStyle w:val="Heading1"/>
        <w:keepLines/>
        <w:widowControl/>
        <w:numPr>
          <w:ilvl w:val="0"/>
          <w:numId w:val="0"/>
        </w:numPr>
        <w:suppressAutoHyphens w:val="false"/>
        <w:overflowPunct w:val="true"/>
        <w:spacing w:lineRule="auto" w:line="247"/>
        <w:ind w:hanging="0" w:left="0"/>
        <w:jc w:val="both"/>
        <w:rPr>
          <w:lang w:val="de-DE"/>
        </w:rPr>
      </w:pPr>
      <w:r>
        <w:rPr>
          <w:lang w:val="de-DE"/>
        </w:rPr>
      </w:r>
      <w:r>
        <w:br w:type="page"/>
      </w:r>
    </w:p>
    <w:p>
      <w:pPr>
        <w:pStyle w:val="Heading1"/>
        <w:ind w:hanging="0" w:left="0"/>
        <w:rPr>
          <w:lang w:val="de-DE"/>
        </w:rPr>
      </w:pPr>
      <w:bookmarkStart w:id="1046" w:name="__RefHeading___Toc23186_2990485309"/>
      <w:bookmarkEnd w:id="1046"/>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Die Anforderung aus §30 BSIGE: </w:t>
              <w:br/>
              <w:br/>
              <w:t xml:space="preserve">(1) (Betroffene Organisationen) sind verpflichtet, geeignete, verhältnismäßige und wirksame technische und organisatorische Maßnahmen, (...) zu ergreifen, um Störungen der (Informationssicherheit) zu vermeiden und Auswirkungen von Sicherheitsvorfällen möglichst gering zu halten. (...) </w:t>
              <w:br/>
              <w:t xml:space="preserve">(2) Maßnahmen nach Absatz 1 sollen den Stand der Technik einhalten, die einschlägigen europäischen und internationalen Normen berücksichtigen und müssen auf einem gefahrenübergreifenden Ansatz beruhen. Die Maßnahmen müssen zumindest Folgendes umfassen: </w:t>
              <w:br/>
              <w:t xml:space="preserve">(...) </w:t>
              <w:br/>
            </w:r>
            <w:r>
              <w:rPr>
                <w:rFonts w:eastAsia="Bitstream Vera Sans" w:cs="Bitstream Vera Sans"/>
                <w:color w:val="auto"/>
                <w:kern w:val="0"/>
                <w:sz w:val="20"/>
                <w:szCs w:val="24"/>
                <w:lang w:val="de-DE" w:eastAsia="en-US" w:bidi="en-US"/>
              </w:rPr>
              <w:t xml:space="preserve">6. </w:t>
            </w:r>
            <w:r>
              <w:rPr>
                <w:rFonts w:eastAsia="Bitstream Vera Sans" w:cs="Bitstream Vera Sans"/>
                <w:color w:val="auto"/>
                <w:kern w:val="0"/>
                <w:sz w:val="20"/>
                <w:szCs w:val="24"/>
                <w:lang w:val="de-DE" w:eastAsia="en-US" w:bidi="en-US"/>
              </w:rPr>
              <w:t>Konzepte und Verfahren zur Bewertung der Wirksamkeit von Risikomanagementmaßnahmen im Bereich der Sicherheit in der Informationstechnik</w:t>
            </w:r>
          </w:p>
        </w:tc>
      </w:tr>
    </w:tbl>
    <w:p>
      <w:pPr>
        <w:pStyle w:val="Normal"/>
        <w:rPr/>
      </w:pPr>
      <w:r>
        <w:rPr/>
      </w:r>
    </w:p>
    <w:p>
      <w:pPr>
        <w:pStyle w:val="Normal"/>
        <w:rPr>
          <w:lang w:val="de-DE"/>
        </w:rPr>
      </w:pPr>
      <w:r>
        <w:rPr/>
        <w:t>In Ergänzung zu Kapitel 17...</w:t>
      </w:r>
    </w:p>
    <w:p>
      <w:pPr>
        <w:pStyle w:val="Normal"/>
        <w:rPr>
          <w:lang w:val="de-DE"/>
        </w:rPr>
      </w:pPr>
      <w:r>
        <w:rPr/>
        <w:t>- technische Maßnahmen wie Sicherheits-Scans (Ergebnisse MÜSSEN als Sicherheitsvorfall behandelt werden)</w:t>
      </w:r>
    </w:p>
    <w:p>
      <w:pPr>
        <w:pStyle w:val="Normal"/>
        <w:rPr/>
      </w:pPr>
      <w:r>
        <w:rPr/>
      </w:r>
    </w:p>
    <w:p>
      <w:pPr>
        <w:pStyle w:val="Normal"/>
        <w:rPr>
          <w:lang w:val="de-DE"/>
        </w:rPr>
      </w:pPr>
      <w:r>
        <w:rPr/>
        <w:t>- KPI</w:t>
      </w:r>
    </w:p>
    <w:p>
      <w:pPr>
        <w:pStyle w:val="Normal"/>
        <w:rPr>
          <w:lang w:val="de-DE"/>
        </w:rPr>
      </w:pPr>
      <w:r>
        <w:rPr/>
        <w:t>- Interne Audits</w:t>
      </w:r>
    </w:p>
    <w:p>
      <w:pPr>
        <w:pStyle w:val="Normal"/>
        <w:rPr>
          <w:lang w:val="de-DE"/>
        </w:rPr>
      </w:pPr>
      <w:r>
        <w:rPr>
          <w:lang w:val="de-DE"/>
        </w:rPr>
        <w:t>- (</w:t>
      </w:r>
      <w:r>
        <w:rPr>
          <w:rFonts w:eastAsia="Arial" w:cs="DejaVu Sans"/>
          <w:color w:val="auto"/>
          <w:kern w:val="0"/>
          <w:sz w:val="20"/>
          <w:szCs w:val="22"/>
          <w:lang w:val="de-DE" w:eastAsia="en-US" w:bidi="ar-SA"/>
        </w:rPr>
        <w:t>…</w:t>
      </w:r>
      <w:r>
        <w:rPr>
          <w:lang w:val="de-DE"/>
        </w:rPr>
        <w:t>)</w:t>
      </w:r>
    </w:p>
    <w:p>
      <w:pPr>
        <w:pStyle w:val="Normal"/>
        <w:rPr/>
      </w:pPr>
      <w:r>
        <w:rPr/>
      </w:r>
    </w:p>
    <w:p>
      <w:pPr>
        <w:pStyle w:val="Normal"/>
        <w:rPr>
          <w:lang w:val="de-DE"/>
        </w:rPr>
      </w:pPr>
      <w:r>
        <w:rPr/>
        <w:t>Anmerkung: Wir haben bereits an einer Stelle einen Review-Prozess (die Konfiguration von Netzübergangspunkten zu weniger oder nicht vertrauenswürdigen Netzwerken muss jährlich geprüft werden).</w:t>
      </w:r>
    </w:p>
    <w:p>
      <w:pPr>
        <w:pStyle w:val="Normal"/>
        <w:rPr/>
      </w:pPr>
      <w:r>
        <w:rPr/>
        <w:t>Richtlinie „Überwachung und Fortentwicklung des ISMS“</w:t>
      </w:r>
    </w:p>
    <w:p>
      <w:pPr>
        <w:pStyle w:val="Normal"/>
        <w:rPr/>
      </w:pPr>
      <w:r>
        <w:rPr/>
        <w:t>Lernen aus (Beinahe-)Sicherheitsvorfällen</w:t>
      </w:r>
    </w:p>
    <w:p>
      <w:pPr>
        <w:pStyle w:val="Normal"/>
        <w:rPr/>
      </w:pPr>
      <w:r>
        <w:rPr/>
        <w:t>Die Ergebnisse MÜSSEN im Zuge des jährlichen Berichts des ISB an das IST vorgestellt werden.</w:t>
      </w:r>
    </w:p>
    <w:p>
      <w:pPr>
        <w:pStyle w:val="Normal"/>
        <w:rPr/>
      </w:pPr>
      <w:r>
        <w:rPr/>
        <w:t xml:space="preserve">Die Organisation </w:t>
      </w:r>
      <w:r>
        <w:rPr/>
        <w:t>MUSS</w:t>
      </w:r>
      <w:r>
        <w:rPr/>
        <w:t xml:space="preserve"> festlegen, </w:t>
      </w:r>
      <w:r>
        <w:rPr/>
        <w:t xml:space="preserve">wie die </w:t>
      </w:r>
    </w:p>
    <w:p>
      <w:pPr>
        <w:pStyle w:val="Normal"/>
        <w:rPr/>
      </w:pPr>
      <w:r>
        <w:rPr/>
        <w:t>Es MUSS ein Verfahren (siehe Anhang A.1) definiert werden, (…)</w:t>
      </w:r>
    </w:p>
    <w:p>
      <w:pPr>
        <w:pStyle w:val="Normal"/>
        <w:rPr/>
      </w:pPr>
      <w:r>
        <w:rPr/>
        <w:t>Maßnahmen</w:t>
      </w:r>
      <w:r>
        <w:rPr/>
        <w:t xml:space="preserve"> werden verbessert, wenn Mängel in ihrer Umsetzung, Angemessenheit oder Effektivität erkannt werden.</w:t>
      </w:r>
    </w:p>
    <w:p>
      <w:pPr>
        <w:pStyle w:val="Normal"/>
        <w:rPr/>
      </w:pPr>
      <w:r>
        <w:rPr/>
        <w:t>w</w:t>
      </w:r>
      <w:r>
        <w:rPr/>
        <w:t xml:space="preserve">elche </w:t>
      </w:r>
      <w:r>
        <w:rPr/>
        <w:t xml:space="preserve">technischen und organisatorischen </w:t>
      </w:r>
      <w:r>
        <w:rPr/>
        <w:t>Maßnahmen</w:t>
      </w:r>
      <w:r>
        <w:rPr/>
        <w:t xml:space="preserve"> überwacht </w:t>
      </w:r>
      <w:r>
        <w:rPr/>
        <w:t xml:space="preserve">werden, </w:t>
      </w:r>
      <w:r>
        <w:rPr/>
        <w:t>um das Funktionieren und die Qualität des ISMS zu messen.</w:t>
      </w:r>
    </w:p>
    <w:p>
      <w:pPr>
        <w:pStyle w:val="Normal"/>
        <w:rPr/>
      </w:pPr>
      <w:r>
        <w:rPr/>
        <w:t xml:space="preserve"> </w:t>
      </w:r>
      <w:r>
        <w:rPr/>
        <w:t xml:space="preserve">und </w:t>
      </w:r>
      <w:r>
        <w:rPr/>
        <w:t xml:space="preserve">wie das Funktionieren des ISMS </w:t>
      </w:r>
      <w:r>
        <w:rPr/>
        <w:t xml:space="preserve">gemessen werden muss, wie z. B. Prozesse und Sicherheitsmaßnahmen. </w:t>
      </w:r>
    </w:p>
    <w:p>
      <w:pPr>
        <w:pStyle w:val="Normal"/>
        <w:rPr>
          <w:lang w:val="de-DE"/>
        </w:rPr>
      </w:pPr>
      <w:r>
        <w:rPr/>
        <w:t xml:space="preserve">Sie definiert die entsprechenden Methoden, Zeiträume und Verantwortlichen. </w:t>
      </w:r>
    </w:p>
    <w:p>
      <w:pPr>
        <w:pStyle w:val="Normal"/>
        <w:rPr/>
      </w:pPr>
      <w:r>
        <w:rPr/>
        <w:t>Die Wirksamkeit der implementierten Maßnahmen kann mithilfe von Kennzahlen (KPIs), Vorfallstatistiken, Trainingsauswertungen und Auswertungen von Schwachstellen-Scans sowie internen Audits bewertet werden.</w:t>
      </w:r>
    </w:p>
    <w:p>
      <w:pPr>
        <w:pStyle w:val="Normal"/>
        <w:rPr>
          <w:lang w:val="de-DE"/>
        </w:rPr>
      </w:pPr>
      <w:r>
        <w:rPr>
          <w:u w:val="single"/>
        </w:rPr>
        <w:t>Die VdS 10k schreibt aktuell folgende interne Audits vor:</w:t>
      </w:r>
    </w:p>
    <w:p>
      <w:pPr>
        <w:pStyle w:val="Normal"/>
        <w:rPr>
          <w:b/>
          <w:bCs/>
        </w:rPr>
      </w:pPr>
      <w:r>
        <w:rPr>
          <w:b/>
          <w:bCs/>
        </w:rPr>
        <w:t xml:space="preserve">4 Organisation → 4.2 </w:t>
      </w:r>
      <w:bookmarkStart w:id="1047" w:name="_Toc178588051_Copy_1"/>
      <w:bookmarkStart w:id="1048" w:name="_Toc531165016_Copy_1"/>
      <w:bookmarkStart w:id="1049" w:name="_Toc187327031_Copy_1"/>
      <w:bookmarkStart w:id="1050" w:name="verantwortlichkeiten_Copy_1"/>
      <w:bookmarkStart w:id="1051" w:name="_Toc178761310_Copy_1"/>
      <w:bookmarkStart w:id="1052" w:name="_Toc530662881_Copy_1"/>
      <w:bookmarkStart w:id="1053" w:name="_Toc187411384"/>
      <w:r>
        <w:rPr>
          <w:b/>
          <w:bCs/>
        </w:rPr>
        <w:t>Verantwortlichkeiten</w:t>
      </w:r>
      <w:bookmarkEnd w:id="1047"/>
      <w:bookmarkEnd w:id="1048"/>
      <w:bookmarkEnd w:id="1049"/>
      <w:bookmarkEnd w:id="1050"/>
      <w:bookmarkEnd w:id="1051"/>
      <w:bookmarkEnd w:id="1052"/>
      <w:bookmarkEnd w:id="1053"/>
      <w:r>
        <w:rPr>
          <w:b/>
          <w:bCs/>
        </w:rPr>
        <w:t xml:space="preserve"> → 4.2.2 Zuweisung und Dokumentation</w:t>
      </w:r>
    </w:p>
    <w:p>
      <w:pPr>
        <w:pStyle w:val="Normal"/>
        <w:tabs>
          <w:tab w:val="clear" w:pos="720"/>
          <w:tab w:val="left" w:pos="0" w:leader="none"/>
        </w:tabs>
        <w:bidi w:val="0"/>
        <w:ind w:hanging="0" w:left="0"/>
        <w:jc w:val="left"/>
        <w:rPr>
          <w:lang w:val="de-DE"/>
        </w:rPr>
      </w:pPr>
      <w:r>
        <w:rPr>
          <w:lang w:val="de-DE"/>
        </w:rPr>
        <w:t>„</w:t>
      </w:r>
      <w:r>
        <w:rPr>
          <w:lang w:val="de-DE"/>
        </w:rPr>
        <w:t>Es MUSS für jede Verantwortlichkeit dokumentiert werden (…)</w:t>
        <w:br/>
        <w:t>6. wie und durch welche Position(en) die Erfüllung der Verantwortlichkeit überprüft wird“</w:t>
      </w:r>
    </w:p>
    <w:p>
      <w:pPr>
        <w:pStyle w:val="Normal"/>
        <w:tabs>
          <w:tab w:val="clear" w:pos="720"/>
          <w:tab w:val="left" w:pos="0" w:leader="none"/>
        </w:tabs>
        <w:bidi w:val="0"/>
        <w:ind w:hanging="0" w:left="0"/>
        <w:jc w:val="left"/>
        <w:rPr>
          <w:b/>
          <w:bCs/>
          <w:lang w:val="de-DE"/>
        </w:rPr>
      </w:pPr>
      <w:r>
        <w:rPr>
          <w:b/>
          <w:bCs/>
          <w:lang w:val="de-DE"/>
        </w:rPr>
        <w:t>4 Organisation → 4.2 Verantwortlichkeiten → 4.2.3 Funktionstrennungen</w:t>
      </w:r>
    </w:p>
    <w:p>
      <w:pPr>
        <w:pStyle w:val="Normal"/>
        <w:tabs>
          <w:tab w:val="clear" w:pos="720"/>
          <w:tab w:val="left" w:pos="0" w:leader="none"/>
        </w:tabs>
        <w:bidi w:val="0"/>
        <w:ind w:hanging="0" w:left="0"/>
        <w:jc w:val="left"/>
        <w:rPr>
          <w:lang w:val="de-DE"/>
        </w:rPr>
      </w:pPr>
      <w:r>
        <w:rPr>
          <w:lang w:val="de-DE"/>
        </w:rPr>
        <w:t>„</w:t>
      </w:r>
      <w:r>
        <w:rPr>
          <w:lang w:val="de-DE"/>
        </w:rPr>
        <w:t>Um Zuständigkeitslücken oder Überschneidungen von Verantwortlichkeiten zu vermeiden, MÜSSEN die entsprechenden Regelungen jährlich vom Informationssicherheits</w:t>
        <w:softHyphen/>
        <w:t>beauftragten (ISB) überprüft werden.“</w:t>
      </w:r>
    </w:p>
    <w:p>
      <w:pPr>
        <w:pStyle w:val="Normal"/>
        <w:tabs>
          <w:tab w:val="clear" w:pos="720"/>
          <w:tab w:val="left" w:pos="0" w:leader="none"/>
        </w:tabs>
        <w:ind w:hanging="0" w:left="0"/>
        <w:jc w:val="left"/>
        <w:rPr/>
      </w:pPr>
      <w:r>
        <w:rPr>
          <w:b/>
          <w:bCs/>
        </w:rPr>
        <w:t>11 Netzwerke → 11.4 Netzübergänge</w:t>
      </w:r>
    </w:p>
    <w:p>
      <w:pPr>
        <w:pStyle w:val="Normal"/>
        <w:tabs>
          <w:tab w:val="clear" w:pos="720"/>
          <w:tab w:val="left" w:pos="0" w:leader="none"/>
        </w:tabs>
        <w:ind w:hanging="0" w:left="0"/>
        <w:jc w:val="left"/>
        <w:rPr/>
      </w:pPr>
      <w:r>
        <w:rPr/>
        <w:t>„</w:t>
      </w:r>
      <w:r>
        <w:rPr/>
        <w:t>Die Konfiguration der Netzwerkkomponenten, die einen Netzwerkübergang zu weniger oder nicht vertrauenswürdigen Netzwerken implementieren, MUSS jährlich überprüft werden.“</w:t>
      </w:r>
    </w:p>
    <w:p>
      <w:pPr>
        <w:pStyle w:val="Normal"/>
        <w:tabs>
          <w:tab w:val="clear" w:pos="720"/>
          <w:tab w:val="left" w:pos="0" w:leader="none"/>
        </w:tabs>
        <w:ind w:hanging="0" w:left="0"/>
        <w:jc w:val="left"/>
        <w:rPr>
          <w:b/>
          <w:bCs/>
        </w:rPr>
      </w:pPr>
      <w:r>
        <w:rPr>
          <w:b/>
          <w:bCs/>
        </w:rPr>
        <w:t>15 Zugänge und Zugriffsrechte → 15.3 Zusätzliche Maßnahmen für kritische IT-Systeme und Informationen</w:t>
      </w:r>
    </w:p>
    <w:p>
      <w:pPr>
        <w:pStyle w:val="Normal"/>
        <w:tabs>
          <w:tab w:val="clear" w:pos="720"/>
          <w:tab w:val="left" w:pos="0" w:leader="none"/>
        </w:tabs>
        <w:ind w:hanging="0" w:left="0"/>
        <w:jc w:val="left"/>
        <w:rPr/>
      </w:pPr>
      <w:r>
        <w:rPr/>
        <w:t>„</w:t>
      </w:r>
      <w:r>
        <w:rPr/>
        <w:t>Alle Zugänge zu kritischen IT-Systemen, sämtliche Zugriffsrechte auf kritische Informationen sowie sämtliche Zutrittsrechte zu kritischen IT-Systemen MÜSSEN jährlich erfasst und daraufhin überprüft werden, ob sie gemäß der Verfahren aus Abschnitt 15.2 angelegt wurden und benötigt werden.“</w:t>
      </w:r>
    </w:p>
    <w:p>
      <w:pPr>
        <w:pStyle w:val="Normal"/>
        <w:tabs>
          <w:tab w:val="clear" w:pos="720"/>
          <w:tab w:val="left" w:pos="0" w:leader="none"/>
        </w:tabs>
        <w:bidi w:val="0"/>
        <w:ind w:hanging="0" w:left="0"/>
        <w:jc w:val="left"/>
        <w:rPr>
          <w:b/>
          <w:bCs/>
          <w:lang w:val="de-DE"/>
        </w:rPr>
      </w:pPr>
      <w:r>
        <w:rPr>
          <w:b/>
          <w:bCs/>
          <w:lang w:val="de-DE"/>
        </w:rPr>
        <w:t>Anhang A Verfahren und Risikomanagement → A.1 Verfahren</w:t>
      </w:r>
    </w:p>
    <w:p>
      <w:pPr>
        <w:pStyle w:val="Normal"/>
        <w:tabs>
          <w:tab w:val="clear" w:pos="720"/>
          <w:tab w:val="left" w:pos="0" w:leader="none"/>
        </w:tabs>
        <w:bidi w:val="0"/>
        <w:ind w:hanging="0" w:left="0"/>
        <w:jc w:val="left"/>
        <w:rPr>
          <w:lang w:val="de-DE"/>
        </w:rPr>
      </w:pPr>
      <w:r>
        <w:rPr>
          <w:lang w:val="de-DE"/>
        </w:rPr>
        <w:t>„</w:t>
      </w:r>
      <w:r>
        <w:rPr>
          <w:lang w:val="de-DE"/>
        </w:rPr>
        <w:t>Umsetzung, Angemessenheit und Effektivität werden jährlich bei einem Drittel der Verfahren überprüft.“</w:t>
      </w:r>
    </w:p>
    <w:p>
      <w:pPr>
        <w:pStyle w:val="Normal"/>
        <w:tabs>
          <w:tab w:val="clear" w:pos="720"/>
          <w:tab w:val="left" w:pos="0" w:leader="none"/>
        </w:tabs>
        <w:bidi w:val="0"/>
        <w:ind w:hanging="0" w:left="0"/>
        <w:jc w:val="left"/>
        <w:rPr>
          <w:lang w:val="de-DE"/>
        </w:rPr>
      </w:pPr>
      <w:r>
        <w:rPr>
          <w:lang w:val="de-DE"/>
        </w:rPr>
        <w:t>I</w:t>
      </w:r>
      <w:r>
        <w:rPr>
          <w:u w:val="single"/>
          <w:lang w:val="de-DE"/>
        </w:rPr>
        <w:t>deen für die Ausgestaltung der VdS 10100:</w:t>
      </w:r>
    </w:p>
    <w:p>
      <w:pPr>
        <w:pStyle w:val="Normal"/>
        <w:numPr>
          <w:ilvl w:val="0"/>
          <w:numId w:val="36"/>
        </w:numPr>
        <w:tabs>
          <w:tab w:val="clear" w:pos="720"/>
          <w:tab w:val="left" w:pos="0" w:leader="none"/>
        </w:tabs>
        <w:bidi w:val="0"/>
        <w:jc w:val="left"/>
        <w:rPr>
          <w:lang w:val="de-DE"/>
        </w:rPr>
      </w:pPr>
      <w:r>
        <w:rPr>
          <w:lang w:val="de-DE"/>
        </w:rPr>
        <w:t>Auswertung der Logfiles wichtiger/kritischer IT-Systeme</w:t>
      </w:r>
    </w:p>
    <w:p>
      <w:pPr>
        <w:pStyle w:val="Normal"/>
        <w:numPr>
          <w:ilvl w:val="0"/>
          <w:numId w:val="36"/>
        </w:numPr>
        <w:tabs>
          <w:tab w:val="clear" w:pos="720"/>
          <w:tab w:val="left" w:pos="0" w:leader="none"/>
        </w:tabs>
        <w:bidi w:val="0"/>
        <w:jc w:val="left"/>
        <w:rPr>
          <w:lang w:val="de-DE"/>
        </w:rPr>
      </w:pPr>
      <w:r>
        <w:rPr>
          <w:lang w:val="de-DE"/>
        </w:rPr>
        <w:t>Lernerfolgskontrolle für Schulungs- und Sensibilisierungsmaßnahmen</w:t>
      </w:r>
    </w:p>
    <w:p>
      <w:pPr>
        <w:pStyle w:val="Normal"/>
        <w:numPr>
          <w:ilvl w:val="0"/>
          <w:numId w:val="36"/>
        </w:numPr>
        <w:tabs>
          <w:tab w:val="clear" w:pos="720"/>
          <w:tab w:val="left" w:pos="0" w:leader="none"/>
        </w:tabs>
        <w:bidi w:val="0"/>
        <w:jc w:val="left"/>
        <w:rPr>
          <w:lang w:val="de-DE"/>
        </w:rPr>
      </w:pPr>
      <w:r>
        <w:rPr>
          <w:lang w:val="de-DE"/>
        </w:rPr>
        <w:t>Sicherheitsvorfälle (Anzahl, Schwere, Bewältigung)</w:t>
      </w:r>
    </w:p>
    <w:p>
      <w:pPr>
        <w:pStyle w:val="Normal"/>
        <w:numPr>
          <w:ilvl w:val="0"/>
          <w:numId w:val="36"/>
        </w:numPr>
        <w:tabs>
          <w:tab w:val="clear" w:pos="720"/>
          <w:tab w:val="left" w:pos="0" w:leader="none"/>
        </w:tabs>
        <w:bidi w:val="0"/>
        <w:jc w:val="left"/>
        <w:rPr>
          <w:lang w:val="de-DE"/>
        </w:rPr>
      </w:pPr>
      <w:r>
        <w:rPr>
          <w:lang w:val="de-DE"/>
        </w:rPr>
        <w:t>Meldungen des Anti-Virus</w:t>
      </w:r>
    </w:p>
    <w:p>
      <w:pPr>
        <w:pStyle w:val="Normal"/>
        <w:numPr>
          <w:ilvl w:val="0"/>
          <w:numId w:val="36"/>
        </w:numPr>
        <w:tabs>
          <w:tab w:val="clear" w:pos="720"/>
          <w:tab w:val="left" w:pos="0" w:leader="none"/>
        </w:tabs>
        <w:bidi w:val="0"/>
        <w:jc w:val="left"/>
        <w:rPr>
          <w:lang w:val="de-DE"/>
        </w:rPr>
      </w:pPr>
      <w:r>
        <w:rPr>
          <w:lang w:val="de-DE"/>
        </w:rPr>
        <w:t>Security-Scans</w:t>
      </w:r>
    </w:p>
    <w:p>
      <w:pPr>
        <w:pStyle w:val="Normal"/>
        <w:numPr>
          <w:ilvl w:val="0"/>
          <w:numId w:val="36"/>
        </w:numPr>
        <w:tabs>
          <w:tab w:val="clear" w:pos="720"/>
          <w:tab w:val="left" w:pos="0" w:leader="none"/>
        </w:tabs>
        <w:bidi w:val="0"/>
        <w:jc w:val="left"/>
        <w:rPr>
          <w:lang w:val="de-DE"/>
        </w:rPr>
      </w:pPr>
      <w:r>
        <w:rPr>
          <w:lang w:val="de-DE"/>
        </w:rPr>
        <w:t>Prüfen der Segmentierung der Schutzkategorien</w:t>
      </w:r>
    </w:p>
    <w:p>
      <w:pPr>
        <w:pStyle w:val="Normal"/>
        <w:numPr>
          <w:ilvl w:val="0"/>
          <w:numId w:val="36"/>
        </w:numPr>
        <w:tabs>
          <w:tab w:val="clear" w:pos="720"/>
          <w:tab w:val="left" w:pos="0" w:leader="none"/>
        </w:tabs>
        <w:bidi w:val="0"/>
        <w:jc w:val="left"/>
        <w:rPr>
          <w:lang w:val="de-DE"/>
        </w:rPr>
      </w:pPr>
      <w:r>
        <w:rPr>
          <w:lang w:val="de-DE"/>
        </w:rPr>
        <w:t>Vorgehen bei Verfahren kopieren (1/xtel der Maßnahmen zufällig auswählen und prüfen)</w:t>
      </w:r>
    </w:p>
    <w:p>
      <w:pPr>
        <w:pStyle w:val="Normal"/>
        <w:numPr>
          <w:ilvl w:val="0"/>
          <w:numId w:val="36"/>
        </w:numPr>
        <w:tabs>
          <w:tab w:val="clear" w:pos="720"/>
          <w:tab w:val="left" w:pos="0" w:leader="none"/>
        </w:tabs>
        <w:bidi w:val="0"/>
        <w:jc w:val="left"/>
        <w:rPr>
          <w:lang w:val="de-DE"/>
        </w:rPr>
      </w:pPr>
      <w:r>
        <w:rPr>
          <w:lang w:val="de-DE"/>
        </w:rPr>
        <w:t>Security-Scans (Vulnerability-Scans) und /oder Pentests</w:t>
      </w:r>
    </w:p>
    <w:p>
      <w:pPr>
        <w:pStyle w:val="Normal"/>
        <w:numPr>
          <w:ilvl w:val="0"/>
          <w:numId w:val="36"/>
        </w:numPr>
        <w:tabs>
          <w:tab w:val="clear" w:pos="720"/>
          <w:tab w:val="left" w:pos="0" w:leader="none"/>
        </w:tabs>
        <w:bidi w:val="0"/>
        <w:jc w:val="left"/>
        <w:rPr>
          <w:lang w:val="de-DE"/>
        </w:rPr>
      </w:pPr>
      <w:r>
        <w:rPr>
          <w:lang w:val="de-DE"/>
        </w:rPr>
        <w:t>…</w:t>
      </w:r>
    </w:p>
    <w:p>
      <w:pPr>
        <w:pStyle w:val="Heading1"/>
        <w:keepLines/>
        <w:widowControl/>
        <w:numPr>
          <w:ilvl w:val="0"/>
          <w:numId w:val="0"/>
        </w:numPr>
        <w:suppressAutoHyphens w:val="false"/>
        <w:overflowPunct w:val="true"/>
        <w:spacing w:lineRule="auto" w:line="247"/>
        <w:ind w:hanging="0" w:left="0"/>
        <w:jc w:val="both"/>
        <w:rPr>
          <w:lang w:val="de-DE"/>
        </w:rPr>
      </w:pPr>
      <w:r>
        <w:rPr/>
      </w:r>
      <w:r>
        <w:br w:type="page"/>
      </w:r>
    </w:p>
    <w:p>
      <w:pPr>
        <w:pStyle w:val="Heading1"/>
        <w:ind w:hanging="0" w:left="0"/>
        <w:rPr>
          <w:lang w:val="de-DE"/>
        </w:rPr>
      </w:pPr>
      <w:bookmarkStart w:id="1054" w:name="__RefHeading___Toc23186_2990485309_Copy_"/>
      <w:bookmarkEnd w:id="1054"/>
      <w:r>
        <w:rPr/>
        <w:t>Kryptografie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6" name="0 Copy 1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Die Anforderung aus §30 BSIGE: </w:t>
              <w:br/>
              <w:br/>
              <w:t xml:space="preserve">(1) (Betroffene Organisationen) sind verpflichtet, geeignete, verhältnismäßige und wirksame technische und organisatorische Maßnahmen, (...) zu ergreifen, um Störungen der (Informationssicherheit) zu vermeiden und Auswirkungen von Sicherheitsvorfällen möglichst gering zu halten. (...) </w:t>
              <w:br/>
              <w:t xml:space="preserve">(2) Maßnahmen nach Absatz 1 sollen den Stand der Technik einhalten, die einschlägigen europäischen und internationalen Normen berücksichtigen und müssen auf einem gefahrenübergreifenden Ansatz beruhen. Die Maßnahmen müssen zumindest Folgendes umfassen: </w:t>
              <w:br/>
              <w:t xml:space="preserve">(...) </w:t>
              <w:br/>
              <w:t xml:space="preserve">8. Konzepte und Prozesse für den Einsatz von kryptographischen Verfahren, </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Normal"/>
        <w:numPr>
          <w:ilvl w:val="0"/>
          <w:numId w:val="35"/>
        </w:numPr>
        <w:rPr/>
      </w:pPr>
      <w:r>
        <w:rPr/>
        <w:t>Richtlinie zum Einsatz von Kryptografie und Verfahren</w:t>
      </w:r>
    </w:p>
    <w:p>
      <w:pPr>
        <w:pStyle w:val="Normal"/>
        <w:numPr>
          <w:ilvl w:val="0"/>
          <w:numId w:val="35"/>
        </w:numPr>
        <w:rPr/>
      </w:pPr>
      <w:r>
        <w:rPr/>
        <w:t>Kritische Informationen sowohl im Ruhezustand als auch bei der Übertragung kryptografisch schützen.</w:t>
      </w:r>
    </w:p>
    <w:p>
      <w:pPr>
        <w:pStyle w:val="Normal"/>
        <w:numPr>
          <w:ilvl w:val="0"/>
          <w:numId w:val="35"/>
        </w:numPr>
        <w:rPr>
          <w:strike/>
        </w:rPr>
      </w:pPr>
      <w:r>
        <w:rPr>
          <w:strike/>
        </w:rPr>
        <w:t>Verfahren:</w:t>
      </w:r>
    </w:p>
    <w:p>
      <w:pPr>
        <w:pStyle w:val="Normal"/>
        <w:numPr>
          <w:ilvl w:val="1"/>
          <w:numId w:val="35"/>
        </w:numPr>
        <w:rPr>
          <w:strike/>
        </w:rPr>
      </w:pPr>
      <w:r>
        <w:rPr>
          <w:strike/>
        </w:rPr>
        <w:t>Schlüsselerzeugung</w:t>
      </w:r>
    </w:p>
    <w:p>
      <w:pPr>
        <w:pStyle w:val="Normal"/>
        <w:numPr>
          <w:ilvl w:val="1"/>
          <w:numId w:val="35"/>
        </w:numPr>
        <w:rPr>
          <w:strike/>
        </w:rPr>
      </w:pPr>
      <w:r>
        <w:rPr>
          <w:strike/>
        </w:rPr>
        <w:t>Aufbewahrung und Verteilung von Schlüsseln</w:t>
      </w:r>
    </w:p>
    <w:p>
      <w:pPr>
        <w:pStyle w:val="Normal"/>
        <w:numPr>
          <w:ilvl w:val="1"/>
          <w:numId w:val="35"/>
        </w:numPr>
        <w:rPr>
          <w:strike/>
        </w:rPr>
      </w:pPr>
      <w:r>
        <w:rPr>
          <w:strike/>
        </w:rPr>
        <w:t>Zurückziehen von Schlüsseln</w:t>
      </w:r>
    </w:p>
    <w:p>
      <w:pPr>
        <w:pStyle w:val="Normal"/>
        <w:numPr>
          <w:ilvl w:val="0"/>
          <w:numId w:val="35"/>
        </w:numPr>
        <w:rPr>
          <w:strike/>
        </w:rPr>
      </w:pPr>
      <w:r>
        <w:rPr>
          <w:strike/>
        </w:rPr>
        <w:t>Auswahl von kryptografischen Maßnahmen</w:t>
      </w:r>
    </w:p>
    <w:p>
      <w:pPr>
        <w:pStyle w:val="Normal"/>
        <w:numPr>
          <w:ilvl w:val="0"/>
          <w:numId w:val="35"/>
        </w:numPr>
        <w:rPr>
          <w:lang w:val="de-DE"/>
        </w:rPr>
      </w:pPr>
      <w:r>
        <w:rPr/>
        <w:t>Datensicherung: kryptografisches Material berücksichtigen (Speicherorte)</w:t>
      </w:r>
    </w:p>
    <w:p>
      <w:pPr>
        <w:pStyle w:val="Normal"/>
        <w:rPr>
          <w:lang w:val="de-DE"/>
        </w:rPr>
      </w:pPr>
      <w:r>
        <w:rPr/>
        <w:t>Für wichtige IT-Systeme und Verbindungen:</w:t>
      </w:r>
    </w:p>
    <w:p>
      <w:pPr>
        <w:pStyle w:val="Normal"/>
        <w:rPr>
          <w:u w:val="single"/>
          <w:lang w:val="de-DE"/>
        </w:rPr>
      </w:pPr>
      <w:r>
        <w:rPr>
          <w:u w:val="single"/>
          <w:lang w:val="de-DE"/>
        </w:rPr>
        <w:t xml:space="preserve">Basisschutz: </w:t>
      </w:r>
    </w:p>
    <w:p>
      <w:pPr>
        <w:pStyle w:val="Normal"/>
        <w:rPr>
          <w:lang w:val="de-DE"/>
        </w:rPr>
      </w:pPr>
      <w:r>
        <w:rPr>
          <w:lang w:val="de-DE"/>
        </w:rPr>
        <w:t>Informationen, die von und zu wichtigen IT-Systemen übertragen werden, MÜSSEN vor dem Verlust ihrer Vertraulichkeit, Integrität und Authentizität geschützt werden.</w:t>
      </w:r>
    </w:p>
    <w:p>
      <w:pPr>
        <w:pStyle w:val="Normal"/>
        <w:rPr>
          <w:lang w:val="de-DE"/>
        </w:rPr>
      </w:pPr>
      <w:r>
        <w:rPr>
          <w:lang w:val="de-DE"/>
        </w:rPr>
        <w:t>Dies KANN durch den Einsatz von kryptografischen Verfahren umgesetzt werden.</w:t>
      </w:r>
    </w:p>
    <w:p>
      <w:pPr>
        <w:pStyle w:val="Normal"/>
        <w:numPr>
          <w:ilvl w:val="0"/>
          <w:numId w:val="37"/>
        </w:numPr>
        <w:rPr/>
      </w:pPr>
      <w:r>
        <w:rPr/>
        <w:t>Kryptografische Verfahren (SSL/TLS, VPN, SSH, S/MIME, ...).</w:t>
        <w:br/>
        <w:t xml:space="preserve">Kann ggf. in Kapitel 10 (und Kapitel 11) integriert werden, da </w:t>
      </w:r>
    </w:p>
    <w:p>
      <w:pPr>
        <w:pStyle w:val="Normal"/>
        <w:numPr>
          <w:ilvl w:val="0"/>
          <w:numId w:val="37"/>
        </w:numPr>
        <w:rPr/>
      </w:pPr>
      <w:r>
        <w:rPr/>
        <w:t>Für jedes kryptografisches Verfahren muss regelmäßig geprüft werden, ob die eingesetzten kryptografischen Verfahren noch als sicher gelten.</w:t>
      </w:r>
    </w:p>
    <w:p>
      <w:pPr>
        <w:pStyle w:val="Normal"/>
        <w:rPr>
          <w:lang w:val="de-DE"/>
        </w:rPr>
      </w:pPr>
      <w:r>
        <w:rPr/>
        <w:t>Für kritische Informationen:</w:t>
      </w:r>
    </w:p>
    <w:p>
      <w:pPr>
        <w:pStyle w:val="Normal"/>
        <w:numPr>
          <w:ilvl w:val="0"/>
          <w:numId w:val="38"/>
        </w:numPr>
        <w:rPr/>
      </w:pPr>
      <w:r>
        <w:rPr/>
        <w:t>Lebensweg skizzieren</w:t>
      </w:r>
    </w:p>
    <w:p>
      <w:pPr>
        <w:pStyle w:val="Normal"/>
        <w:numPr>
          <w:ilvl w:val="0"/>
          <w:numId w:val="38"/>
        </w:numPr>
        <w:rPr>
          <w:lang w:val="de-DE"/>
        </w:rPr>
      </w:pPr>
      <w:r>
        <w:rPr/>
        <w:t>Prüfen, wo kryptografische Verfahren bei Aufbewahrung und Übertragung eingesetzt werden können.</w:t>
      </w:r>
    </w:p>
    <w:p>
      <w:pPr>
        <w:pStyle w:val="BodyText"/>
        <w:tabs>
          <w:tab w:val="clear" w:pos="720"/>
          <w:tab w:val="left" w:pos="0" w:leader="none"/>
        </w:tabs>
        <w:bidi w:val="0"/>
        <w:ind w:hanging="0" w:left="0"/>
        <w:jc w:val="left"/>
        <w:rPr>
          <w:lang w:val="de-DE"/>
        </w:rPr>
      </w:pPr>
      <w:r>
        <w:rPr>
          <w:lang w:val="de-DE"/>
        </w:rPr>
        <w:t xml:space="preserve">Problem: Die betroffenen Organisationen können in der Regel die Sicherheit der eingesetzten kryptografischen Verfahren nicht selbst prüfen. Sie müssen sich auf die Aussagen bzw. die Produkte der Hersteller verlassen. Auch die Dienstleister haben i. d. R. </w:t>
      </w:r>
      <w:r>
        <w:rPr>
          <w:lang w:val="de-DE"/>
        </w:rPr>
        <w:t xml:space="preserve">hier </w:t>
      </w:r>
      <w:r>
        <w:rPr>
          <w:lang w:val="de-DE"/>
        </w:rPr>
        <w:t xml:space="preserve">erschreckend wenig </w:t>
      </w:r>
      <w:r>
        <w:rPr>
          <w:lang w:val="de-DE"/>
        </w:rPr>
        <w:t>Wissen.</w:t>
      </w:r>
    </w:p>
    <w:p>
      <w:pPr>
        <w:pStyle w:val="BodyText"/>
        <w:tabs>
          <w:tab w:val="clear" w:pos="720"/>
          <w:tab w:val="left" w:pos="0" w:leader="none"/>
        </w:tabs>
        <w:bidi w:val="0"/>
        <w:ind w:hanging="0" w:left="0"/>
        <w:jc w:val="left"/>
        <w:rPr>
          <w:lang w:val="de-DE"/>
        </w:rPr>
      </w:pPr>
      <w:r>
        <w:rPr>
          <w:lang w:val="de-DE"/>
        </w:rPr>
      </w:r>
    </w:p>
    <w:p>
      <w:pPr>
        <w:pStyle w:val="Heading2"/>
        <w:ind w:hanging="0" w:left="0"/>
        <w:rPr/>
      </w:pPr>
      <w:bookmarkStart w:id="1055" w:name="__RefHeading___Toc26260_3248772027"/>
      <w:bookmarkEnd w:id="1055"/>
      <w:r>
        <w:rPr/>
        <w:t>Richtlinie</w:t>
      </w:r>
    </w:p>
    <w:p>
      <w:pPr>
        <w:pStyle w:val="BodyText"/>
        <w:tabs>
          <w:tab w:val="clear" w:pos="720"/>
          <w:tab w:val="left" w:pos="0" w:leader="none"/>
        </w:tabs>
        <w:bidi w:val="0"/>
        <w:ind w:hanging="0" w:left="0"/>
        <w:jc w:val="left"/>
        <w:rPr>
          <w:lang w:val="de-DE"/>
        </w:rPr>
      </w:pPr>
      <w:r>
        <w:rPr>
          <w:lang w:val="de-DE"/>
        </w:rPr>
        <w:t>&lt;FIXME – Das Konzept für den Einsatz von kryptografischen Maßnahmen wird in einer Richtlinie zusammengefasst.&gt;</w:t>
      </w:r>
    </w:p>
    <w:p>
      <w:pPr>
        <w:pStyle w:val="Heading2"/>
        <w:ind w:hanging="0" w:left="0"/>
        <w:rPr/>
      </w:pPr>
      <w:bookmarkStart w:id="1056" w:name="__RefHeading___Toc23120_3248772027"/>
      <w:bookmarkEnd w:id="1056"/>
      <w:r>
        <w:rPr/>
        <w:t>Inventarisierung</w:t>
      </w:r>
    </w:p>
    <w:p>
      <w:pPr>
        <w:pStyle w:val="Normal"/>
        <w:rPr/>
      </w:pPr>
      <w:r>
        <w:rPr/>
        <w:t xml:space="preserve">Es MUSS eine Inventarisierung vorhanden sein, in der alle kryptografischen Verfahren verzeichnet sind, die </w:t>
      </w:r>
      <w:r>
        <w:rPr/>
        <w:t xml:space="preserve">für die Absicherung </w:t>
      </w:r>
      <w:r>
        <w:rPr/>
        <w:t>von wichtigen IT-Ressourcen eingesetzt werden.</w:t>
      </w:r>
    </w:p>
    <w:p>
      <w:pPr>
        <w:pStyle w:val="Normal"/>
        <w:rPr/>
      </w:pPr>
      <w:r>
        <w:rPr/>
        <w:t xml:space="preserve">Die Inventarisierung MUSS durch entsprechende Verfahren </w:t>
      </w:r>
      <w:commentRangeStart w:id="23"/>
      <w:r>
        <w:rPr/>
        <w:t>(siehe Abschnitte 10.x.y und 11.x.y)</w:t>
      </w:r>
      <w:r>
        <w:rPr/>
      </w:r>
      <w:commentRangeEnd w:id="23"/>
      <w:r>
        <w:commentReference w:id="23"/>
      </w:r>
      <w:r>
        <w:rPr/>
        <w:t xml:space="preserve"> voll-ständig und aktuell gehalten werden.</w:t>
      </w:r>
    </w:p>
    <w:p>
      <w:pPr>
        <w:pStyle w:val="Normal"/>
        <w:rPr/>
      </w:pPr>
      <w:r>
        <w:rPr/>
        <w:t>In ihr MÜSSEN folgende Informationen für jedes kryptografische Verfahren verzeichnet sein:</w:t>
      </w:r>
    </w:p>
    <w:p>
      <w:pPr>
        <w:pStyle w:val="Normal"/>
        <w:numPr>
          <w:ilvl w:val="0"/>
          <w:numId w:val="249"/>
        </w:numPr>
        <w:rPr/>
      </w:pPr>
      <w:r>
        <w:rPr/>
        <w:t>Einsatzzweck</w:t>
      </w:r>
    </w:p>
    <w:p>
      <w:pPr>
        <w:pStyle w:val="Normal"/>
        <w:numPr>
          <w:ilvl w:val="0"/>
          <w:numId w:val="249"/>
        </w:numPr>
        <w:rPr/>
      </w:pPr>
      <w:r>
        <w:rPr/>
        <w:t>technische Informationen über Algorithmen, Protokolle und Sicherheitsparameter</w:t>
      </w:r>
    </w:p>
    <w:p>
      <w:pPr>
        <w:pStyle w:val="Heading2"/>
        <w:ind w:hanging="0" w:left="0"/>
        <w:rPr/>
      </w:pPr>
      <w:bookmarkStart w:id="1057" w:name="__RefHeading___Toc23122_3248772027"/>
      <w:bookmarkEnd w:id="1057"/>
      <w:r>
        <w:rPr/>
        <w:t>Anforderungen</w:t>
      </w:r>
    </w:p>
    <w:p>
      <w:pPr>
        <w:pStyle w:val="10000-DefaultParagraph"/>
        <w:rPr>
          <w:highlight w:val="none"/>
          <w:shd w:fill="auto" w:val="clear"/>
        </w:rPr>
      </w:pPr>
      <w:r>
        <w:rPr>
          <w:shd w:fill="auto" w:val="clear"/>
          <w:lang w:val="de-DE"/>
        </w:rPr>
        <w:t xml:space="preserve">Folgende Maßnahmen MÜSSEN für alle </w:t>
      </w:r>
      <w:r>
        <w:rPr>
          <w:shd w:fill="auto" w:val="clear"/>
          <w:lang w:val="de-DE"/>
        </w:rPr>
        <w:t>k</w:t>
      </w:r>
      <w:r>
        <w:rPr>
          <w:shd w:fill="auto" w:val="clear"/>
          <w:lang w:val="de-DE"/>
        </w:rPr>
        <w:t>ryptografische Verfahren umgesetzt werden:</w:t>
      </w:r>
    </w:p>
    <w:p>
      <w:pPr>
        <w:pStyle w:val="10000-DefaultParagraph"/>
        <w:numPr>
          <w:ilvl w:val="0"/>
          <w:numId w:val="467"/>
        </w:numPr>
        <w:rPr>
          <w:highlight w:val="none"/>
          <w:shd w:fill="auto" w:val="clear"/>
        </w:rPr>
      </w:pPr>
      <w:r>
        <w:rPr>
          <w:shd w:fill="auto" w:val="clear"/>
          <w:lang w:val="de-DE"/>
        </w:rPr>
        <w:t>Sie</w:t>
      </w:r>
      <w:r>
        <w:rPr>
          <w:shd w:fill="auto" w:val="clear"/>
          <w:lang w:val="de-DE"/>
        </w:rPr>
        <w:t xml:space="preserve"> </w:t>
      </w:r>
      <w:r>
        <w:rPr>
          <w:shd w:fill="auto" w:val="clear"/>
          <w:lang w:val="de-DE"/>
        </w:rPr>
        <w:t xml:space="preserve">werden </w:t>
      </w:r>
      <w:r>
        <w:rPr>
          <w:shd w:fill="auto" w:val="clear"/>
          <w:lang w:val="de-DE"/>
        </w:rPr>
        <w:t>entsprechend der gesetzlichen, betrieblichen und vertraglichen Anforderungen ausgewählt.</w:t>
      </w:r>
    </w:p>
    <w:p>
      <w:pPr>
        <w:pStyle w:val="10000-DefaultParagraph"/>
        <w:numPr>
          <w:ilvl w:val="0"/>
          <w:numId w:val="468"/>
        </w:numPr>
        <w:rPr>
          <w:highlight w:val="none"/>
          <w:shd w:fill="auto" w:val="clear"/>
        </w:rPr>
      </w:pPr>
      <w:r>
        <w:rPr>
          <w:shd w:fill="auto" w:val="clear"/>
          <w:lang w:val="de-DE"/>
        </w:rPr>
        <w:t>Sie verfügen über eine Zertifizierung gemäß eines anerkannten Standards wie z. B. FIPS 140-3, Common Criteria / ISO 15408 oder gemäß entsprechender technischer Richtlinien des BSI wie z. B. TR-02102.</w:t>
      </w:r>
    </w:p>
    <w:p>
      <w:pPr>
        <w:pStyle w:val="10000-DefaultParagraph"/>
        <w:rPr/>
      </w:pPr>
      <w:r>
        <w:rPr>
          <w:rStyle w:val="Emphasis"/>
          <w:i w:val="false"/>
          <w:iCs w:val="false"/>
          <w:shd w:fill="auto" w:val="clear"/>
          <w:lang w:val="de-DE"/>
        </w:rPr>
        <w:t>Wenn Maßnahmen nicht umgesetzt werden, MÜSSEN die dadurch entstehenden Risiken identifiziert, analysiert und behandelt werden (siehe</w:t>
      </w:r>
      <w:r>
        <w:rPr>
          <w:spacing w:val="-2"/>
          <w:shd w:fill="auto" w:val="clear"/>
          <w:lang w:val="de-DE"/>
        </w:rPr>
        <w:t xml:space="preserve"> Anhang</w:t>
      </w:r>
      <w:r>
        <w:rPr>
          <w:rStyle w:val="Emphasis"/>
          <w:i w:val="false"/>
          <w:shd w:fill="auto" w:val="clear"/>
          <w:lang w:val="de-DE"/>
        </w:rPr>
        <w:t xml:space="preserve"> </w:t>
      </w:r>
      <w:r>
        <w:rPr>
          <w:rStyle w:val="Emphasis"/>
          <w:i w:val="false"/>
          <w:iCs w:val="false"/>
          <w:shd w:fill="auto" w:val="clear"/>
          <w:lang w:val="de-DE"/>
        </w:rPr>
        <w:fldChar w:fldCharType="begin"/>
      </w:r>
      <w:r>
        <w:rPr>
          <w:rStyle w:val="Emphasis"/>
          <w:i w:val="false"/>
          <w:shd w:fill="auto" w:val="clear"/>
          <w:iCs w:val="false"/>
          <w:lang w:val="de-DE"/>
        </w:rPr>
        <w:instrText xml:space="preserve"> REF _Ref179187642 \n \n \h </w:instrText>
      </w:r>
      <w:r>
        <w:rPr>
          <w:rStyle w:val="Emphasis"/>
          <w:i w:val="false"/>
          <w:shd w:fill="auto" w:val="clear"/>
          <w:iCs w:val="false"/>
          <w:lang w:val="de-DE"/>
        </w:rPr>
        <w:fldChar w:fldCharType="separate"/>
      </w:r>
      <w:r>
        <w:rPr>
          <w:rStyle w:val="Emphasis"/>
          <w:i w:val="false"/>
          <w:shd w:fill="auto" w:val="clear"/>
          <w:iCs w:val="false"/>
          <w:lang w:val="de-DE"/>
        </w:rPr>
        <w:t>A.2</w:t>
      </w:r>
      <w:r>
        <w:rPr>
          <w:rStyle w:val="Emphasis"/>
          <w:i w:val="false"/>
          <w:shd w:fill="auto" w:val="clear"/>
          <w:iCs w:val="false"/>
          <w:lang w:val="de-DE"/>
        </w:rPr>
        <w:fldChar w:fldCharType="end"/>
      </w:r>
      <w:r>
        <w:rPr>
          <w:rStyle w:val="Emphasis"/>
          <w:i w:val="false"/>
          <w:iCs w:val="false"/>
          <w:shd w:fill="auto" w:val="clear"/>
          <w:lang w:val="de-DE"/>
        </w:rPr>
        <w:t>).</w:t>
      </w:r>
    </w:p>
    <w:p>
      <w:pPr>
        <w:pStyle w:val="Heading2"/>
        <w:ind w:hanging="0" w:left="0"/>
        <w:rPr/>
      </w:pPr>
      <w:r>
        <w:rPr/>
        <w:t>Verfahren</w:t>
      </w:r>
    </w:p>
    <w:p>
      <w:pPr>
        <w:pStyle w:val="Normal"/>
        <w:ind w:hanging="0" w:left="0"/>
        <w:rPr/>
      </w:pPr>
      <w:r>
        <w:rPr/>
        <w:t xml:space="preserve">Für jedes kryptografische Verfahren MUSS </w:t>
      </w:r>
      <w:r>
        <w:rPr/>
        <w:t>ein</w:t>
      </w:r>
      <w:r>
        <w:rPr/>
        <w:t xml:space="preserve"> Verfahren (siehe Anhang A.1) implementiert werden, die die folgenden Punkte sicherstell</w:t>
      </w:r>
      <w:r>
        <w:rPr/>
        <w:t>t</w:t>
      </w:r>
      <w:r>
        <w:rPr/>
        <w:t>:</w:t>
      </w:r>
    </w:p>
    <w:p>
      <w:pPr>
        <w:pStyle w:val="Normal"/>
        <w:numPr>
          <w:ilvl w:val="0"/>
          <w:numId w:val="251"/>
        </w:numPr>
        <w:rPr/>
      </w:pPr>
      <w:r>
        <w:rPr/>
        <w:t>Das Verfahren enthält alle Informationen, Arbeitsschritte und deren Reihenfolge, die es fachlich versierten Personen ermöglichen, das kryptografische Verfahren zu konfigurieren.</w:t>
      </w:r>
    </w:p>
    <w:p>
      <w:pPr>
        <w:pStyle w:val="Normal"/>
        <w:numPr>
          <w:ilvl w:val="0"/>
          <w:numId w:val="251"/>
        </w:numPr>
        <w:rPr/>
      </w:pPr>
      <w:r>
        <w:rPr/>
        <w:t xml:space="preserve">Es enthält alle Informationen, Arbeitsschritte und deren Reihenfolge, die es fachlich versierten Personen ermöglichen, Schlüssel für das kryptografische Verfahren zu erstellen, zu verteilen </w:t>
      </w:r>
      <w:r>
        <w:rPr/>
        <w:t>und zurückzuziehen.</w:t>
      </w:r>
    </w:p>
    <w:p>
      <w:pPr>
        <w:pStyle w:val="Normal"/>
        <w:numPr>
          <w:ilvl w:val="0"/>
          <w:numId w:val="251"/>
        </w:numPr>
        <w:rPr/>
      </w:pPr>
      <w:r>
        <w:rPr/>
        <w:t xml:space="preserve">Die Schlüssel werden bei Erzeugung, Übertragung, Lagerung und Transport vor </w:t>
      </w:r>
      <w:r>
        <w:rPr/>
        <w:t xml:space="preserve">unberechtigten </w:t>
      </w:r>
      <w:r>
        <w:rPr/>
        <w:t>Änderungen, Beschädigung, Verlust und unberechtigter Einsichtnahme geschützt.</w:t>
      </w:r>
    </w:p>
    <w:p>
      <w:pPr>
        <w:pStyle w:val="Normal"/>
        <w:numPr>
          <w:ilvl w:val="0"/>
          <w:numId w:val="251"/>
        </w:numPr>
        <w:rPr/>
      </w:pPr>
      <w:r>
        <w:rPr/>
        <w:t xml:space="preserve">Die </w:t>
      </w:r>
      <w:r>
        <w:rPr/>
        <w:t>Sicherheit des kryptografischen Verfahrens und die Sicherheit der Konfiguration wird regelmäßig geprüft.</w:t>
      </w:r>
    </w:p>
    <w:p>
      <w:pPr>
        <w:pStyle w:val="Normal"/>
        <w:numPr>
          <w:ilvl w:val="0"/>
          <w:numId w:val="251"/>
        </w:numPr>
        <w:rPr/>
      </w:pPr>
      <w:r>
        <w:rPr/>
        <w:t>Das k</w:t>
      </w:r>
      <w:r>
        <w:rPr/>
        <w:t xml:space="preserve">ryptografische Verfahren </w:t>
      </w:r>
      <w:r>
        <w:rPr/>
        <w:t>wird</w:t>
      </w:r>
      <w:r>
        <w:rPr/>
        <w:t xml:space="preserve"> zeitnah verbessert, ersetzt oder abgeschaltet, wenn sie als unsicher erkannt und/oder sie neue gesetzliche, betriebliche oder vertraglichen Anforderungen nicht erfüllen.</w:t>
      </w:r>
    </w:p>
    <w:p>
      <w:pPr>
        <w:pStyle w:val="Normal"/>
        <w:numPr>
          <w:ilvl w:val="0"/>
          <w:numId w:val="251"/>
        </w:numPr>
        <w:rPr/>
      </w:pPr>
      <w:r>
        <w:rPr/>
        <w:t>Schlüssel werden in regelmäßigen Abständen erneuert.</w:t>
      </w:r>
    </w:p>
    <w:p>
      <w:pPr>
        <w:pStyle w:val="Normal"/>
        <w:numPr>
          <w:ilvl w:val="0"/>
          <w:numId w:val="251"/>
        </w:numPr>
        <w:rPr/>
      </w:pPr>
      <w:r>
        <w:rPr/>
        <w:t xml:space="preserve">Schlüssel werden ersetzt </w:t>
      </w:r>
      <w:r>
        <w:rPr/>
        <w:t>und ggf. zurückgezogen</w:t>
      </w:r>
      <w:r>
        <w:rPr/>
        <w:t>, wenn der begründete Verdacht besteht, dass ihre Vertraulichkeit Integrität und/oder Authentizität verletzt wurde.</w:t>
      </w:r>
    </w:p>
    <w:p>
      <w:pPr>
        <w:pStyle w:val="BodyText"/>
        <w:tabs>
          <w:tab w:val="clear" w:pos="720"/>
          <w:tab w:val="left" w:pos="0" w:leader="none"/>
        </w:tabs>
        <w:bidi w:val="0"/>
        <w:ind w:hanging="0" w:left="0"/>
        <w:jc w:val="left"/>
        <w:rPr>
          <w:u w:val="single"/>
          <w:lang w:val="de-DE"/>
        </w:rPr>
      </w:pPr>
      <w:r>
        <w:rPr>
          <w:u w:val="single"/>
          <w:lang w:val="de-DE"/>
        </w:rPr>
        <w:t>Die VdS 10k schreibt aktuell in folgenden Bereichen den Einsatz vor:</w:t>
      </w:r>
    </w:p>
    <w:p>
      <w:pPr>
        <w:pStyle w:val="BodyText"/>
        <w:tabs>
          <w:tab w:val="clear" w:pos="720"/>
          <w:tab w:val="left" w:pos="0" w:leader="none"/>
        </w:tabs>
        <w:bidi w:val="0"/>
        <w:ind w:hanging="0" w:left="0"/>
        <w:jc w:val="left"/>
        <w:rPr>
          <w:lang w:val="de-DE"/>
        </w:rPr>
      </w:pPr>
      <w:r>
        <w:rPr>
          <w:lang w:val="de-DE"/>
        </w:rPr>
      </w:r>
    </w:p>
    <w:p>
      <w:pPr>
        <w:pStyle w:val="Normal"/>
        <w:rPr>
          <w:b/>
          <w:bCs/>
        </w:rPr>
      </w:pPr>
      <w:r>
        <w:rPr>
          <w:b/>
          <w:bCs/>
        </w:rPr>
        <w:t>10 IT-Systeme → 10.5 Zusätzliche Maßnahmen für mobile IT-Systeme → 10.5.3 Schutz der Informationen</w:t>
      </w:r>
    </w:p>
    <w:p>
      <w:pPr>
        <w:pStyle w:val="Normal"/>
        <w:rPr/>
      </w:pPr>
      <w:r>
        <w:rPr/>
        <w:t>„</w:t>
      </w:r>
      <w:r>
        <w:rPr/>
        <w:t>Es MUSS mit Hilfe einer Risikoanalyse und -behandlung (siehe Anhang A 2) festgelegt werden, welche Informationen auf mobilen IT-Systemen durch kryptografische Maßnahmen vor dem Verlust ihrer</w:t>
      </w:r>
    </w:p>
    <w:p>
      <w:pPr>
        <w:pStyle w:val="Normal"/>
        <w:rPr/>
      </w:pPr>
      <w:r>
        <w:rPr/>
        <w:t>Vertraulichkeit und Integrität geschützt werden.“</w:t>
      </w:r>
    </w:p>
    <w:p>
      <w:pPr>
        <w:pStyle w:val="Normal"/>
        <w:rPr>
          <w:b/>
          <w:bCs/>
        </w:rPr>
      </w:pPr>
      <w:r>
        <w:rPr>
          <w:b/>
          <w:bCs/>
        </w:rPr>
        <w:t>10 IT-Systeme → 10.7 Zusätzliche Maßnahmen für kritische IT-Systeme → 10.7.4 Kryptografie</w:t>
      </w:r>
    </w:p>
    <w:p>
      <w:pPr>
        <w:pStyle w:val="Normal"/>
        <w:rPr>
          <w:b w:val="false"/>
          <w:bCs w:val="false"/>
        </w:rPr>
      </w:pPr>
      <w:r>
        <w:rPr>
          <w:b w:val="false"/>
          <w:bCs w:val="fals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b w:val="false"/>
          <w:bCs w:val="false"/>
        </w:rPr>
      </w:pPr>
      <w:r>
        <w:rPr>
          <w:b w:val="false"/>
          <w:bCs w:val="false"/>
        </w:rPr>
        <w:t>Die dabei eingesetzten kryptografischen Maßnahmen MÜSSEN auf anerkannt sicheren technischen Verfahren basieren, wie sie z. B. in BSI TR-02102-1 aufgeführt sind.</w:t>
      </w:r>
    </w:p>
    <w:p>
      <w:pPr>
        <w:pStyle w:val="Normal"/>
        <w:rPr>
          <w:b/>
          <w:bCs/>
        </w:rPr>
      </w:pPr>
      <w:r>
        <w:rPr>
          <w:b/>
          <w:bCs/>
        </w:rPr>
        <w:t>11 Netzwerke → 11.5 Basisschutz → 11.5.4 Fernzugang</w:t>
      </w:r>
    </w:p>
    <w:p>
      <w:pPr>
        <w:pStyle w:val="Normal"/>
        <w:rPr>
          <w:b w:val="false"/>
          <w:bCs w:val="false"/>
        </w:rPr>
      </w:pPr>
      <w:r>
        <w:rPr>
          <w:b w:val="false"/>
          <w:bCs w:val="false"/>
        </w:rPr>
        <w:t>„</w:t>
      </w:r>
      <w:r>
        <w:rPr>
          <w:b w:val="false"/>
          <w:bCs w:val="false"/>
        </w:rPr>
        <w:t>Der Zugang zu nichtöffentlichen Bereichen von IT-Systemen über weniger oder nicht vertrauenswürdige Netzwerke MUSS abgesichert werden.</w:t>
      </w:r>
    </w:p>
    <w:p>
      <w:pPr>
        <w:pStyle w:val="Normal"/>
        <w:rPr>
          <w:b w:val="false"/>
          <w:bCs w:val="false"/>
        </w:rPr>
      </w:pPr>
      <w:r>
        <w:rPr>
          <w:b w:val="false"/>
          <w:bCs w:val="false"/>
        </w:rPr>
        <w:t>Dabei MÜSSEN folgende Anforderungen erfüllt werden:</w:t>
      </w:r>
    </w:p>
    <w:p>
      <w:pPr>
        <w:pStyle w:val="Normal"/>
        <w:rPr>
          <w:b w:val="false"/>
          <w:bCs w:val="false"/>
        </w:rPr>
      </w:pPr>
      <w:r>
        <w:rPr>
          <w:b w:val="false"/>
          <w:bCs w:val="false"/>
        </w:rPr>
        <w:t>1. Die Vertraulichkeit, Integrität und Authentizität der übertragenen Informationen wird geschützt.</w:t>
      </w:r>
    </w:p>
    <w:p>
      <w:pPr>
        <w:pStyle w:val="Normal"/>
        <w:rPr>
          <w:b w:val="false"/>
          <w:bCs w:val="false"/>
        </w:rPr>
      </w:pPr>
      <w:r>
        <w:rPr>
          <w:b w:val="false"/>
          <w:bCs w:val="false"/>
        </w:rPr>
        <w:t>Dies KANN durch den Einsatz von anerkannt sicheren kryptografischen Maßnahmen sichergestellt werden, wie sie z. B. in BSI TR-02102-1 verzeichnet sind.“</w:t>
      </w:r>
    </w:p>
    <w:p>
      <w:pPr>
        <w:pStyle w:val="Heading1"/>
        <w:ind w:hanging="0" w:left="0"/>
        <w:rPr/>
      </w:pPr>
      <w:r>
        <w:rPr/>
        <w:t>Entwicklung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7" name="0 Copy 1 Copy 1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Copy 1 Copy 1 Copy 1 Copy 1 Copy 1 Copy 1 Copy 1" descr=""/>
                          <pic:cNvPicPr>
                            <a:picLocks noChangeAspect="1" noChangeArrowheads="1"/>
                          </pic:cNvPicPr>
                        </pic:nvPicPr>
                        <pic:blipFill>
                          <a:blip r:embed="rId11"/>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Die Anforderung aus §30 BSIGE: </w:t>
              <w:br/>
              <w:br/>
              <w:t xml:space="preserve">(1) (Betroffene Organisationen) sind verpflichtet, geeignete, verhältnismäßige und wirksame technische und organisatorische Maßnahmen, (...) zu ergreifen, um Störungen der (Informationssicherheit) zu vermeiden und Auswirkungen von Sicherheitsvorfällen möglichst gering zu halten. (...) </w:t>
              <w:br/>
              <w:t xml:space="preserve">(2) Maßnahmen nach Absatz 1 sollen den Stand der Technik einhalten, die einschlägigen europäischen und internationalen Normen berücksichtigen und müssen auf einem gefahrenübergreifenden Ansatz beruhen. Die Maßnahmen müssen zumindest Folgendes umfassen: </w:t>
              <w:br/>
              <w:t xml:space="preserve">(...) </w:t>
              <w:br/>
              <w:t xml:space="preserve">5. Sicherheitsmaßnahmen bei </w:t>
            </w:r>
            <w:r>
              <w:rPr>
                <w:rFonts w:eastAsia="Bitstream Vera Sans" w:cs="Bitstream Vera Sans"/>
                <w:color w:val="auto"/>
                <w:kern w:val="0"/>
                <w:sz w:val="20"/>
                <w:szCs w:val="24"/>
                <w:lang w:val="de-DE" w:eastAsia="en-US" w:bidi="en-US"/>
              </w:rPr>
              <w:t xml:space="preserve">(…) </w:t>
            </w:r>
            <w:r>
              <w:rPr>
                <w:rFonts w:eastAsia="Bitstream Vera Sans" w:cs="Bitstream Vera Sans"/>
                <w:color w:val="auto"/>
                <w:kern w:val="0"/>
                <w:sz w:val="20"/>
                <w:szCs w:val="24"/>
                <w:lang w:val="de-DE" w:eastAsia="en-US" w:bidi="en-US"/>
              </w:rPr>
              <w:t xml:space="preserve">Entwicklung </w:t>
            </w: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 von informationstechnischen Systemen, Komponenten und Prozessen, einschließlich Management und Offenlegung von Schwachstellen, </w:t>
            </w:r>
          </w:p>
        </w:tc>
      </w:tr>
    </w:tbl>
    <w:p>
      <w:pPr>
        <w:pStyle w:val="Normal"/>
        <w:rPr/>
      </w:pPr>
      <w:r>
        <w:rPr/>
        <w:t xml:space="preserve">In diesem Kapitel sollte festgeschrieben werden, dass die Sicherheitsanforderungen an die Produkte definiert werden </w:t>
      </w:r>
      <w:r>
        <w:rPr/>
        <w:t xml:space="preserve">bzw. werden </w:t>
      </w:r>
      <w:r>
        <w:rPr/>
        <w:t xml:space="preserve">sollten </w:t>
      </w:r>
      <w:r>
        <w:rPr/>
        <w:t>(</w:t>
      </w:r>
      <w:r>
        <w:rPr/>
        <w:t xml:space="preserve">Prinzip </w:t>
      </w:r>
      <w:r>
        <w:rPr/>
        <w:t>Basisschutz</w:t>
      </w:r>
      <w:r>
        <w:rPr/>
        <w:t>). Ggf. müssen/</w:t>
      </w:r>
      <w:r>
        <w:rPr/>
        <w:t>sollten</w:t>
      </w:r>
      <w:r>
        <w:rPr/>
        <w:t xml:space="preserve"> die Sicherheitsanforderungen mithilfe einer Risikoanalyse ermitteln werden. Zusätzlich sollten die Prinzipien "Security by Design" und "Security by Default" aufgenommen werden.</w:t>
      </w:r>
    </w:p>
    <w:p>
      <w:pPr>
        <w:pStyle w:val="Normal"/>
        <w:rPr/>
      </w:pPr>
      <w:r>
        <w:rPr/>
        <w:t xml:space="preserve">Die Anforderungen </w:t>
      </w:r>
      <w:r>
        <w:rPr/>
        <w:t xml:space="preserve">müssen </w:t>
      </w:r>
      <w:r>
        <w:rPr/>
        <w:t xml:space="preserve">für die (Fort-)Entwicklungen von </w:t>
      </w:r>
      <w:r>
        <w:rPr/>
        <w:t xml:space="preserve">alle Arten von </w:t>
      </w:r>
      <w:r>
        <w:rPr/>
        <w:t xml:space="preserve">IT-Infrastrukturen, von IT-Systemen und von Dienstleistungen </w:t>
      </w:r>
      <w:r>
        <w:rPr/>
        <w:t>definiert werden – egal ob für die Organisation selbst oder für Kunden.</w:t>
      </w:r>
    </w:p>
    <w:p>
      <w:pPr>
        <w:pStyle w:val="BodyText"/>
        <w:tabs>
          <w:tab w:val="clear" w:pos="720"/>
          <w:tab w:val="left" w:pos="0" w:leader="none"/>
        </w:tabs>
        <w:bidi w:val="0"/>
        <w:ind w:hanging="0" w:left="0"/>
        <w:jc w:val="left"/>
        <w:rPr>
          <w:u w:val="single"/>
          <w:lang w:val="de-DE"/>
        </w:rPr>
      </w:pPr>
      <w:r>
        <w:rPr>
          <w:u w:val="single"/>
          <w:lang w:val="de-DE"/>
        </w:rPr>
        <w:t xml:space="preserve">Die VdS 10k schreibt aktuell in folgenden Bereichen </w:t>
      </w:r>
      <w:r>
        <w:rPr>
          <w:u w:val="single"/>
          <w:lang w:val="de-DE"/>
        </w:rPr>
        <w:t>Anforderungen an Entwicklungen</w:t>
      </w:r>
      <w:r>
        <w:rPr>
          <w:u w:val="single"/>
          <w:lang w:val="de-DE"/>
        </w:rPr>
        <w:t xml:space="preserve"> vor:</w:t>
      </w:r>
    </w:p>
    <w:p>
      <w:pPr>
        <w:pStyle w:val="BodyText"/>
        <w:tabs>
          <w:tab w:val="clear" w:pos="720"/>
          <w:tab w:val="left" w:pos="0" w:leader="none"/>
        </w:tabs>
        <w:bidi w:val="0"/>
        <w:ind w:hanging="0" w:left="0"/>
        <w:jc w:val="left"/>
        <w:rPr>
          <w:lang w:val="de-DE"/>
        </w:rPr>
      </w:pPr>
      <w:r>
        <w:rPr>
          <w:lang w:val="de-DE"/>
        </w:rPr>
      </w:r>
    </w:p>
    <w:p>
      <w:pPr>
        <w:pStyle w:val="Normal"/>
        <w:rPr>
          <w:b/>
          <w:bCs/>
        </w:rPr>
      </w:pPr>
      <w:r>
        <w:rPr>
          <w:b/>
          <w:bCs/>
        </w:rPr>
        <w:t xml:space="preserve">4 Organisation der Informationssicherheit → </w:t>
      </w:r>
      <w:r>
        <w:rPr>
          <w:b/>
          <w:bCs/>
        </w:rPr>
        <w:t>4.</w:t>
      </w:r>
      <w:r>
        <w:rPr>
          <w:b/>
          <w:bCs/>
        </w:rPr>
        <w:t>10</w:t>
      </w:r>
      <w:r>
        <w:rPr>
          <w:b/>
          <w:bCs/>
        </w:rPr>
        <w:t xml:space="preserve"> </w:t>
      </w:r>
      <w:r>
        <w:rPr>
          <w:b/>
          <w:bCs/>
        </w:rPr>
        <w:t>Projektverantwortliche</w:t>
      </w:r>
    </w:p>
    <w:p>
      <w:pPr>
        <w:pStyle w:val="Normal"/>
        <w:rPr/>
      </w:pPr>
      <w:r>
        <w:rPr/>
        <w:t>„</w:t>
      </w:r>
      <w:r>
        <w:rPr/>
        <w:t>Projektverantwortliche MÜSSEN den ISB bei allen Projekten mit Auswirkung auf die Informationsverarbeitung konsultieren, um sicherzustellen, dass sicherheitsrelevante Aspekte ausreichend beachtet werden.</w:t>
      </w:r>
      <w:r>
        <w:rPr>
          <w:lang w:val="de-DE"/>
        </w:rPr>
        <w:t>“</w:t>
      </w:r>
    </w:p>
    <w:p>
      <w:pPr>
        <w:pStyle w:val="Heading6"/>
        <w:ind w:hanging="0" w:left="0"/>
        <w:rPr>
          <w:highlight w:val="none"/>
          <w:shd w:fill="EEEEEE" w:val="clear"/>
          <w:lang w:val="de-DE"/>
        </w:rPr>
      </w:pPr>
      <w:bookmarkStart w:id="1058" w:name="__RefHeading___Toc33735_4113391834"/>
      <w:bookmarkStart w:id="1059" w:name="_Ref178768361"/>
      <w:bookmarkStart w:id="1060" w:name="_Toc178588120"/>
      <w:bookmarkStart w:id="1061" w:name="_Toc187327162"/>
      <w:bookmarkEnd w:id="1058"/>
      <w:bookmarkEnd w:id="1060"/>
      <w:r>
        <w:rPr>
          <w:shd w:fill="EEEEEE" w:val="clear"/>
          <w:lang w:val="de-DE"/>
        </w:rPr>
        <w:t>Verfahren</w:t>
      </w:r>
      <w:bookmarkEnd w:id="1059"/>
      <w:r>
        <w:rPr>
          <w:shd w:fill="EEEEEE" w:val="clear"/>
          <w:lang w:val="de-DE"/>
        </w:rPr>
        <w:t xml:space="preserve"> und Risikomanagement</w:t>
      </w:r>
      <w:bookmarkEnd w:id="1061"/>
    </w:p>
    <w:p>
      <w:pPr>
        <w:pStyle w:val="Heading7"/>
        <w:ind w:hanging="0" w:left="0"/>
        <w:rPr>
          <w:highlight w:val="none"/>
          <w:shd w:fill="EEEEEE" w:val="clear"/>
          <w:lang w:val="de-DE"/>
        </w:rPr>
      </w:pPr>
      <w:bookmarkStart w:id="1062" w:name="__RefHeading___Toc32130_2021121348"/>
      <w:bookmarkStart w:id="1063" w:name="_Ref179189122"/>
      <w:bookmarkStart w:id="1064" w:name="_Ref178762217"/>
      <w:bookmarkStart w:id="1065" w:name="_Ref179379202"/>
      <w:bookmarkStart w:id="1066" w:name="_Toc178588121"/>
      <w:bookmarkStart w:id="1067" w:name="_Toc531165128"/>
      <w:bookmarkStart w:id="1068" w:name="a_1_verfahren"/>
      <w:bookmarkStart w:id="1069" w:name="_Ref179186091"/>
      <w:bookmarkStart w:id="1070" w:name="_Ref179188712"/>
      <w:bookmarkStart w:id="1071" w:name="_Ref179187958"/>
      <w:bookmarkStart w:id="1072" w:name="_Ref178762155"/>
      <w:bookmarkStart w:id="1073" w:name="_Ref179189208"/>
      <w:bookmarkStart w:id="1074" w:name="_Ref179186218"/>
      <w:bookmarkStart w:id="1075" w:name="_Toc178761422"/>
      <w:bookmarkStart w:id="1076" w:name="_Ref178762140"/>
      <w:bookmarkStart w:id="1077" w:name="_Toc187327163"/>
      <w:bookmarkStart w:id="1078" w:name="_Ref179188814"/>
      <w:bookmarkStart w:id="1079" w:name="_Ref178762043"/>
      <w:bookmarkStart w:id="1080" w:name="_Ref178761570"/>
      <w:bookmarkStart w:id="1081" w:name="_Ref179186357"/>
      <w:bookmarkStart w:id="1082" w:name="_Ref179189094"/>
      <w:bookmarkStart w:id="1083" w:name="rl%252525252525252525252525252525252522z"/>
      <w:bookmarkStart w:id="1084" w:name="_Ref179186850"/>
      <w:bookmarkStart w:id="1085" w:name="_Toc530662993"/>
      <w:bookmarkStart w:id="1086" w:name="_Ref179188840"/>
      <w:bookmarkStart w:id="1087" w:name="_Ref179189260"/>
      <w:bookmarkStart w:id="1088" w:name="_Ref178762087"/>
      <w:bookmarkEnd w:id="1062"/>
      <w:bookmarkEnd w:id="1083"/>
      <w:r>
        <w:rPr>
          <w:shd w:fill="EEEEEE" w:val="clear"/>
          <w:lang w:val="de-DE"/>
        </w:rPr>
        <w:t>Verfahren</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4"/>
      <w:bookmarkEnd w:id="1085"/>
      <w:bookmarkEnd w:id="1086"/>
      <w:bookmarkEnd w:id="1087"/>
      <w:bookmarkEnd w:id="1088"/>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69"/>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70"/>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71"/>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72"/>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89" w:name="__RefHeading___Toc32132_2021121348"/>
      <w:bookmarkStart w:id="1090" w:name="_Ref179186316"/>
      <w:bookmarkStart w:id="1091" w:name="_Ref179188878"/>
      <w:bookmarkStart w:id="1092" w:name="_Ref179187843"/>
      <w:bookmarkStart w:id="1093" w:name="_Toc178588122"/>
      <w:bookmarkStart w:id="1094" w:name="_Ref179187798"/>
      <w:bookmarkStart w:id="1095" w:name="_Ref179188860"/>
      <w:bookmarkStart w:id="1096" w:name="_Ref179186913"/>
      <w:bookmarkStart w:id="1097" w:name="_Ref179187943"/>
      <w:bookmarkStart w:id="1098" w:name="a_2_risikoanalyse_und_-behandlung_Copy_1"/>
      <w:bookmarkStart w:id="1099" w:name="_Toc178761423"/>
      <w:bookmarkStart w:id="1100" w:name="_Toc531165129_Copy_1_Copy_1_Copy_1"/>
      <w:bookmarkStart w:id="1101" w:name="_Ref184205051"/>
      <w:bookmarkStart w:id="1102" w:name="_Ref179187788"/>
      <w:bookmarkStart w:id="1103" w:name="_Ref179186333"/>
      <w:bookmarkStart w:id="1104" w:name="_Ref179187642"/>
      <w:bookmarkStart w:id="1105" w:name="_Toc187327164"/>
      <w:bookmarkStart w:id="1106" w:name="_Ref179186925"/>
      <w:bookmarkStart w:id="1107" w:name="_Toc530662994_Copy_1_Copy_1_Copy_1"/>
      <w:bookmarkStart w:id="1108" w:name="_Ref179187652"/>
      <w:bookmarkEnd w:id="1089"/>
      <w:bookmarkEnd w:id="1098"/>
      <w:bookmarkEnd w:id="1100"/>
      <w:bookmarkEnd w:id="1107"/>
      <w:r>
        <w:rPr>
          <w:shd w:fill="EEEEEE" w:val="clear"/>
          <w:lang w:val="de-DE"/>
        </w:rPr>
        <w:t>Risikomanagement</w:t>
      </w:r>
      <w:bookmarkEnd w:id="1090"/>
      <w:bookmarkEnd w:id="1091"/>
      <w:bookmarkEnd w:id="1092"/>
      <w:bookmarkEnd w:id="1093"/>
      <w:bookmarkEnd w:id="1094"/>
      <w:bookmarkEnd w:id="1095"/>
      <w:bookmarkEnd w:id="1096"/>
      <w:bookmarkEnd w:id="1097"/>
      <w:bookmarkEnd w:id="1099"/>
      <w:bookmarkEnd w:id="1101"/>
      <w:bookmarkEnd w:id="1102"/>
      <w:bookmarkEnd w:id="1103"/>
      <w:bookmarkEnd w:id="1104"/>
      <w:bookmarkEnd w:id="1105"/>
      <w:bookmarkEnd w:id="1106"/>
      <w:bookmarkEnd w:id="1108"/>
    </w:p>
    <w:p>
      <w:pPr>
        <w:pStyle w:val="Heading8"/>
        <w:ind w:hanging="0" w:left="0"/>
        <w:rPr>
          <w:highlight w:val="none"/>
          <w:shd w:fill="EEEEEE" w:val="clear"/>
          <w:lang w:val="de-DE"/>
        </w:rPr>
      </w:pPr>
      <w:bookmarkStart w:id="1109" w:name="__RefHeading___Toc32134_2021121348"/>
      <w:bookmarkStart w:id="1110" w:name="_Ref179188660"/>
      <w:bookmarkStart w:id="1111" w:name="_Toc187327165"/>
      <w:bookmarkEnd w:id="1109"/>
      <w:r>
        <w:rPr>
          <w:shd w:fill="EEEEEE" w:val="clear"/>
          <w:lang w:val="de-DE"/>
        </w:rPr>
        <w:t>Definitionen und Analysen</w:t>
      </w:r>
      <w:bookmarkEnd w:id="1110"/>
      <w:bookmarkEnd w:id="1111"/>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112" w:name="__RefHeading___Toc32136_2021121348"/>
      <w:bookmarkStart w:id="1113" w:name="_Toc187327166"/>
      <w:bookmarkStart w:id="1114" w:name="_Ref184205067"/>
      <w:bookmarkStart w:id="1115" w:name="_Toc178761424"/>
      <w:bookmarkEnd w:id="1112"/>
      <w:r>
        <w:rPr>
          <w:shd w:fill="EEEEEE" w:val="clear"/>
          <w:lang w:val="de-DE"/>
        </w:rPr>
        <w:t>Methodik</w:t>
      </w:r>
      <w:bookmarkEnd w:id="1113"/>
      <w:bookmarkEnd w:id="1114"/>
      <w:bookmarkEnd w:id="1115"/>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116" w:name="__RefHeading___Toc32138_2021121348"/>
      <w:bookmarkStart w:id="1117" w:name="_Toc178761425"/>
      <w:bookmarkStart w:id="1118" w:name="_Ref184205084"/>
      <w:bookmarkStart w:id="1119" w:name="_Toc187327167"/>
      <w:bookmarkEnd w:id="1116"/>
      <w:r>
        <w:rPr>
          <w:shd w:fill="EEEEEE" w:val="clear"/>
          <w:lang w:val="de-DE"/>
        </w:rPr>
        <w:t>Risikoidentifikation</w:t>
      </w:r>
      <w:bookmarkEnd w:id="1117"/>
      <w:bookmarkEnd w:id="1118"/>
      <w:bookmarkEnd w:id="1119"/>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73"/>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74"/>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120" w:name="__RefHeading___a_2.2_risikobehandlung_13"/>
      <w:bookmarkStart w:id="1121" w:name="_Toc178761426"/>
      <w:bookmarkStart w:id="1122" w:name="_Toc530662996_Copy_1"/>
      <w:bookmarkStart w:id="1123" w:name="a_2.2_risikobehandlung_Copy_1"/>
      <w:bookmarkStart w:id="1124" w:name="rl%2525252525252525252525252525252525230"/>
      <w:bookmarkStart w:id="1125" w:name="_Ref184205096"/>
      <w:bookmarkStart w:id="1126" w:name="_Toc187327168"/>
      <w:bookmarkStart w:id="1127" w:name="_Toc531165131_Copy_1"/>
      <w:bookmarkEnd w:id="1120"/>
      <w:bookmarkEnd w:id="1124"/>
      <w:r>
        <w:rPr>
          <w:shd w:fill="EEEEEE" w:val="clear"/>
          <w:lang w:val="de-DE"/>
        </w:rPr>
        <w:t>Risiko</w:t>
      </w:r>
      <w:bookmarkEnd w:id="1122"/>
      <w:bookmarkEnd w:id="1123"/>
      <w:bookmarkEnd w:id="1127"/>
      <w:r>
        <w:rPr>
          <w:shd w:fill="EEEEEE" w:val="clear"/>
          <w:lang w:val="de-DE"/>
        </w:rPr>
        <w:t>analyse</w:t>
      </w:r>
      <w:bookmarkEnd w:id="1121"/>
      <w:bookmarkEnd w:id="1125"/>
      <w:bookmarkEnd w:id="1126"/>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4"/>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5"/>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28" w:name="__RefHeading___a_2.2_risikobehandlung_11"/>
      <w:bookmarkStart w:id="1129" w:name="_Toc531165131"/>
      <w:bookmarkStart w:id="1130" w:name="_Toc530662996"/>
      <w:bookmarkStart w:id="1131" w:name="_Toc187327169"/>
      <w:bookmarkStart w:id="1132" w:name="_Toc178761427"/>
      <w:bookmarkStart w:id="1133" w:name="a_2.2_risikobehandlung"/>
      <w:bookmarkStart w:id="1134" w:name="_Ref184205143"/>
      <w:bookmarkStart w:id="1135" w:name="rl%2525252525252525252525252525252525231"/>
      <w:bookmarkEnd w:id="1128"/>
      <w:bookmarkEnd w:id="1135"/>
      <w:r>
        <w:rPr>
          <w:shd w:fill="EEEEEE" w:val="clear"/>
          <w:lang w:val="de-DE"/>
        </w:rPr>
        <w:t>Risikobehandlung</w:t>
      </w:r>
      <w:bookmarkEnd w:id="1129"/>
      <w:bookmarkEnd w:id="1130"/>
      <w:bookmarkEnd w:id="1131"/>
      <w:bookmarkEnd w:id="1132"/>
      <w:bookmarkEnd w:id="1133"/>
      <w:bookmarkEnd w:id="1134"/>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6"/>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36" w:name="__RefHeading___Toc32140_2021121348"/>
      <w:bookmarkStart w:id="1137" w:name="_Toc187327170"/>
      <w:bookmarkStart w:id="1138" w:name="_Ref184288318"/>
      <w:bookmarkStart w:id="1139" w:name="a_2.3_wiederholung_und_anpassung"/>
      <w:bookmarkStart w:id="1140" w:name="_Toc530662997"/>
      <w:bookmarkStart w:id="1141" w:name="_Toc531165132"/>
      <w:bookmarkStart w:id="1142" w:name="_Toc178761428"/>
      <w:bookmarkEnd w:id="1136"/>
      <w:r>
        <w:rPr>
          <w:shd w:fill="EEEEEE" w:val="clear"/>
          <w:lang w:val="de-DE"/>
        </w:rPr>
        <w:t>Wiederholung und Anpassung</w:t>
      </w:r>
      <w:bookmarkEnd w:id="1137"/>
      <w:bookmarkEnd w:id="1138"/>
      <w:bookmarkEnd w:id="1139"/>
      <w:bookmarkEnd w:id="1140"/>
      <w:bookmarkEnd w:id="1141"/>
      <w:bookmarkEnd w:id="1142"/>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2"/>
      <w:headerReference w:type="default" r:id="rId13"/>
      <w:footerReference w:type="even" r:id="rId14"/>
      <w:footerReference w:type="default" r:id="rId15"/>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Die Anforderungen an den Analyse- und Registrierungsprozess sollte zur Unterstützung eines strukturierten Vorgehens in ein eigenes kapitel ausgelagert werden.</w:t>
      </w:r>
    </w:p>
  </w:comment>
  <w:comment w:id="2" w:author="Mark Semmler" w:date="2025-08-26T09:32:14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Unterschied zur VdS 10k: Anwendungen und Lieferanten hinzugekommen.</w:t>
      </w:r>
    </w:p>
  </w:comment>
  <w:comment w:id="3" w:author="Mark Semmler" w:date="2025-08-25T10:32:1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OT mit in die Beispiele aufgenommen. Rückportieren in die VdS 10000:2025 noch möglich?</w:t>
      </w:r>
    </w:p>
  </w:comment>
  <w:comment w:id="4" w:author="Mark Semmler" w:date="2025-08-22T15:50:30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Sollen wir eine nicht umgesetzte Funktionstrennung in das Risikomanagement aufnehmen? Diese Vorgehensweise würde dem Gedanken von NIS-2 entsprechen.</w:t>
      </w:r>
    </w:p>
  </w:comment>
  <w:comment w:id="5" w:author="Mark Semmler" w:date="2025-08-22T16:02:05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Umsetzung von §38 BSIGE Abs. 1:</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Geschäftsleitungen besonders wichtiger Einrichtungen und wichtiger Einrichtungen sind verpflichtet, die von diesen Einrichtungen nach § 30 zu ergreifenden Risikomanagementmaßnahmen umzusetzen und ihre Umsetzung zu überwachen.</w:t>
      </w:r>
    </w:p>
  </w:comment>
  <w:comment w:id="6" w:author="Mark Semmler" w:date="2025-08-22T16:17:33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Der Begriff “Form” ist falsch.</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Korrekt: “Fassung“</w:t>
      </w:r>
    </w:p>
  </w:comment>
  <w:comment w:id="7" w:author="Mark Semmler" w:date="2025-08-23T10:51:19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TODO:</w:t>
      </w:r>
    </w:p>
    <w:p>
      <w:pPr>
        <w:overflowPunct w:val="false"/>
        <w:spacing w:before="0" w:after="0" w:lineRule="auto" w:line="240"/>
        <w:jc w:val="left"/>
        <w:rPr/>
      </w:pPr>
      <w:r>
        <w:rPr>
          <w:rFonts w:cs="Noto Sans Arabic UI" w:ascii="Liberation Serif" w:hAnsi="Liberation Serif" w:eastAsia="DejaVu Sans"/>
          <w:sz w:val="24"/>
          <w:szCs w:val="24"/>
          <w:lang w:val="de-DE" w:eastAsia="en-US" w:bidi="en-US"/>
        </w:rPr>
        <w:t xml:space="preserve">Aufnehmen: Verweis auf Rechtsverordnungen gem. §56 Abs. 3, Durchführungsrechtsakte der Europäischen Kommission gem. §30 Abs. 4 und 5 und ggf. weiterer dynamischer Regelungen.  </w:t>
      </w:r>
    </w:p>
  </w:comment>
  <w:comment w:id="8" w:author="Mark Semmler" w:date="2025-08-23T10:33:02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Setzt um: §30 BSIGE (Risikomanagementmaßnahmen besonders wichtiger und wichtiger Einrichtungen) Abs. 2 Punkt 7 („grundlegende Schulungen und Sensibilisierungsmaßnahmen im Bereich der Sicherheit der Informationstechnik“)</w:t>
      </w:r>
    </w:p>
    <w:p>
      <w:pPr>
        <w:overflowPunct w:val="false"/>
        <w:spacing w:before="0" w:after="0" w:lineRule="auto" w:line="240"/>
        <w:jc w:val="left"/>
        <w:rPr/>
      </w:pPr>
      <w:r>
        <w:rPr>
          <w:rFonts w:eastAsia="DejaVu Sans" w:ascii="Liberation Serif" w:hAnsi="Liberation Serif" w:cs="Noto Sans Arabic UI"/>
          <w:sz w:val="24"/>
          <w:szCs w:val="24"/>
          <w:lang w:eastAsia="en-US" w:val="en-US" w:bidi="en-US"/>
        </w:rPr>
      </w:r>
    </w:p>
  </w:comment>
  <w:comment w:id="9" w:author="Mark Semmler" w:date="2025-08-21T13:59:50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0" w:author="Mark Semmler" w:date="2025-08-23T09:27:36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Nur eine Idee. Zweck: stärkere Verankerung der Kategorisierung in die täglichen Arbeitsabläufe.</w:t>
      </w:r>
    </w:p>
  </w:comment>
  <w:comment w:id="11" w:author="Mark Semmler" w:date="2025-08-25T11:27:25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Wir können diesen Abschnitt einsparen, wenn im ersten Abschnitt die Formulierung geändert wird in „...für alle IT-Systeme der Schutzkategorie ‚standard’ implementiert werden.“</w:t>
      </w:r>
    </w:p>
  </w:comment>
  <w:comment w:id="12" w:author="Mark Semmler" w:date="2025-01-29T14:21:11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 xml:space="preserve">Eingefügt aufgrund von NIS2DVO (EU) 2024/2690, Beweggrund 23. </w:t>
      </w:r>
    </w:p>
  </w:comment>
  <w:comment w:id="13" w:author="Mark Semmler" w:date="2025-08-26T09:44:58Z" w:initials="MSe">
    <w:p>
      <w:pPr>
        <w:overflowPunct w:val="false"/>
        <w:spacing w:before="0" w:after="0" w:lineRule="auto" w:line="240"/>
        <w:jc w:val="left"/>
        <w:rPr/>
      </w:pPr>
      <w:r>
        <w:annotationRef/>
      </w:r>
      <w:r>
        <w:rPr>
          <w:rFonts w:cs="Noto Sans Arabic UI" w:ascii="Liberation Serif" w:hAnsi="Liberation Serif" w:eastAsia="DejaVu Sans"/>
          <w:sz w:val="24"/>
          <w:szCs w:val="24"/>
          <w:lang w:eastAsia="en-US" w:bidi="en-US" w:val="de-DE"/>
        </w:rPr>
        <w:t>Neu hinzugekommen. Wichtige (und damit auch kritische) IT-Systeme müssen abgeschottet werden.</w:t>
      </w:r>
    </w:p>
  </w:comment>
  <w:comment w:id="14" w:author="Mark Semmler" w:date="2025-01-29T17:10:5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Backport in die neue VdS 10000:2025.</w:t>
      </w:r>
    </w:p>
    <w:p>
      <w:pPr>
        <w:overflowPunct w:val="true"/>
        <w:bidi w:val="0"/>
        <w:spacing w:lineRule="auto" w:line="247" w:before="0" w:after="212"/>
        <w:ind w:hanging="0"/>
        <w:jc w:val="both"/>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Noch möglich?</w:t>
      </w:r>
    </w:p>
  </w:comment>
  <w:comment w:id="15" w:author="Mark Semmler" w:date="2025-08-27T08:59:31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en-US" w:eastAsia="en-US" w:bidi="en-US"/>
        </w:rPr>
        <w:t>internes Audit</w:t>
      </w:r>
    </w:p>
  </w:comment>
  <w:comment w:id="16" w:author="Mark Semmler" w:date="2025-01-14T21:11:39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8-29T10:53:14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Bug in der VdS 10k. Hier gefixt.</w:t>
      </w:r>
    </w:p>
  </w:comment>
  <w:comment w:id="18" w:author="Mark Semmler" w:date="2025-01-31T11:59:49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Keine MUSS-Formulierung. Ändern in „Dazu MÜSSEN die folgenden Anforderungen umgesetzt werden:“</w:t>
      </w:r>
    </w:p>
  </w:comment>
  <w:comment w:id="19" w:author="Mark Semmler" w:date="2025-01-31T12:18:49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Bug in der VdS 10000. Hier behoben.</w:t>
      </w:r>
    </w:p>
  </w:comment>
  <w:comment w:id="20" w:author="Mark Semmler" w:date="2025-01-14T21:21:54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 xml:space="preserve">0.5.6-ToDo: Krise und Krisenmanagement in dieses Kapitel aufnehmen. </w:t>
      </w:r>
    </w:p>
    <w:p>
      <w:pPr>
        <w:overflowPunct w:val="false"/>
        <w:spacing w:before="0" w:after="0" w:lineRule="auto" w:line="240"/>
        <w:jc w:val="left"/>
        <w:rPr/>
      </w:pPr>
      <w:r>
        <w:rPr>
          <w:rFonts w:cs="Noto Sans Arabic UI" w:ascii="Liberation Serif" w:hAnsi="Liberation Serif" w:eastAsia="DejaVu Sans"/>
          <w:sz w:val="24"/>
          <w:szCs w:val="24"/>
          <w:lang w:val="de-DE" w:eastAsia="en-US" w:bidi="en-US"/>
        </w:rPr>
        <w:t>0.5.6-ToDO: Krise in Kap. 3 aufnehmen.</w:t>
      </w:r>
    </w:p>
  </w:comment>
  <w:comment w:id="21" w:author="Mark Semmler" w:date="2025-01-31T12:29:11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Redundant zu oben?!</w:t>
      </w:r>
    </w:p>
  </w:comment>
  <w:comment w:id="22" w:author="Mark Semmler" w:date="2025-01-14T22:30:37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0.5.6-ToDo: Hinweis aufnehmen: Prozesse untersuchen, mögliche Schadensereignisse identifizieren, Reaktion darauf planen - BIA</w:t>
      </w:r>
    </w:p>
  </w:comment>
  <w:comment w:id="23" w:author="Mark Semmler" w:date="2025-09-01T17:16:17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ToDo: Verweise in Kapitel 10 und 11 aufnehmen.</w:t>
      </w:r>
    </w:p>
  </w:comment>
  <w:comment w:id="24" w:author="Mark Semmler" w:date="2025-08-23T15:10:15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Setzt um: §30 Abs. 1, Satz 3 („Die Einhaltung der Verpflichtung nach Satz 1 ist durch die Einrichtungen zu dokumentieren.“)</w:t>
      </w:r>
    </w:p>
  </w:comment>
  <w:comment w:id="25" w:author="Mark Semmler" w:date="2025-08-23T15:08:38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6" w:author="Mark Semmler" w:date="2025-01-29T11:07:5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50</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tabs>
        <w:tab w:val="clear" w:pos="4536"/>
        <w:tab w:val="right" w:pos="9072" w:leader="none"/>
      </w:tabs>
      <w:jc w:val="left"/>
      <w:rPr>
        <w:lang w:val="de-DE"/>
      </w:rPr>
    </w:pPr>
    <w:r>
      <w:rPr/>
      <w:fldChar w:fldCharType="begin"/>
    </w:r>
    <w:r>
      <w:rPr/>
      <w:instrText xml:space="preserve"> PAGE </w:instrText>
    </w:r>
    <w:r>
      <w:rPr/>
      <w:fldChar w:fldCharType="separate"/>
    </w:r>
    <w:r>
      <w:rPr/>
      <w:t>3</w:t>
    </w:r>
    <w:r>
      <w:rPr/>
      <w:fldChar w:fldCharType="end"/>
    </w:r>
    <w:r>
      <w:rPr>
        <w:lang w:val="de-DE"/>
      </w:rPr>
      <w:tab/>
      <w:t>Dieses Dokument ist ein Entwurf – keine Gewähr für Inhalte und Struktur. You have been warned.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3" w:name="_Hlk177383160_Copy_11"/>
    <w:bookmarkStart w:id="1144" w:name="_Hlk177383159_Copy_11"/>
    <w:bookmarkStart w:id="1145" w:name="_Hlk177383158_Copy_11"/>
    <w:bookmarkStart w:id="1146" w:name="_Hlk177383161_Copy_11"/>
    <w:r>
      <w:rPr>
        <w:lang w:val="de-DE"/>
      </w:rPr>
      <w:t>VdS 10100, Version 0.7.</w:t>
    </w:r>
    <w:r>
      <w:rPr>
        <w:lang w:val="de-DE"/>
      </w:rPr>
      <w:t>7</w:t>
    </w:r>
    <w:r>
      <w:rPr>
        <w:lang w:val="de-DE"/>
      </w:rPr>
      <w:t xml:space="preserve"> </w:t>
    </w:r>
    <w:r>
      <w:rPr>
        <w:bCs/>
        <w:lang w:val="de-DE"/>
      </w:rPr>
      <w:t xml:space="preserve">vom </w:t>
    </w:r>
    <w:r>
      <w:rPr>
        <w:bCs/>
        <w:lang w:val="de-DE"/>
      </w:rPr>
      <w:t>01</w:t>
    </w:r>
    <w:r>
      <w:rPr>
        <w:bCs/>
        <w:lang w:val="de-DE"/>
      </w:rPr>
      <w:t>.0</w:t>
    </w:r>
    <w:r>
      <w:rPr>
        <w:bCs/>
        <w:lang w:val="de-DE"/>
      </w:rPr>
      <w:t>9</w:t>
    </w:r>
    <w:r>
      <w:rPr>
        <w:bCs/>
        <w:lang w:val="de-DE"/>
      </w:rPr>
      <w:t>.2025</w:t>
    </w:r>
    <w:bookmarkStart w:id="1147" w:name="_Hlk177383308_Copy_11"/>
    <w:r>
      <w:rPr>
        <w:b/>
        <w:lang w:val="de-DE"/>
      </w:rPr>
      <w:t xml:space="preserve"> </w:t>
    </w:r>
    <w:bookmarkEnd w:id="1147"/>
    <w:r>
      <w:rPr>
        <w:lang w:val="de-DE"/>
      </w:rPr>
      <w:tab/>
      <w:tab/>
    </w:r>
    <w:bookmarkEnd w:id="1143"/>
    <w:bookmarkEnd w:id="1144"/>
    <w:bookmarkEnd w:id="1145"/>
    <w:bookmarkEnd w:id="1146"/>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8" w:name="_Hlk177383159"/>
    <w:bookmarkStart w:id="1149" w:name="_Hlk177383158"/>
    <w:bookmarkStart w:id="1150" w:name="_Hlk177383161"/>
    <w:bookmarkStart w:id="1151" w:name="_Hlk177383160"/>
    <w:r>
      <w:rPr>
        <w:lang w:val="de-DE"/>
      </w:rPr>
      <w:t>VdS 10100, Version 0.7.</w:t>
    </w:r>
    <w:r>
      <w:rPr>
        <w:lang w:val="de-DE"/>
      </w:rPr>
      <w:t>7</w:t>
    </w:r>
    <w:r>
      <w:rPr>
        <w:lang w:val="de-DE"/>
      </w:rPr>
      <w:t xml:space="preserve"> </w:t>
    </w:r>
    <w:r>
      <w:rPr>
        <w:bCs/>
        <w:lang w:val="de-DE"/>
      </w:rPr>
      <w:t xml:space="preserve">vom </w:t>
    </w:r>
    <w:r>
      <w:rPr>
        <w:bCs/>
        <w:lang w:val="de-DE"/>
      </w:rPr>
      <w:t>01</w:t>
    </w:r>
    <w:r>
      <w:rPr>
        <w:bCs/>
        <w:lang w:val="de-DE"/>
      </w:rPr>
      <w:t>.0</w:t>
    </w:r>
    <w:r>
      <w:rPr>
        <w:bCs/>
        <w:lang w:val="de-DE"/>
      </w:rPr>
      <w:t>9</w:t>
    </w:r>
    <w:r>
      <w:rPr>
        <w:bCs/>
        <w:lang w:val="de-DE"/>
      </w:rPr>
      <w:t>.2025</w:t>
    </w:r>
    <w:bookmarkStart w:id="1152" w:name="_Hlk177383308"/>
    <w:r>
      <w:rPr>
        <w:b/>
        <w:lang w:val="de-DE"/>
      </w:rPr>
      <w:t xml:space="preserve"> </w:t>
    </w:r>
    <w:bookmarkEnd w:id="1152"/>
    <w:r>
      <w:rPr>
        <w:lang w:val="de-DE"/>
      </w:rPr>
      <w:tab/>
      <w:tab/>
    </w:r>
    <w:bookmarkEnd w:id="1148"/>
    <w:bookmarkEnd w:id="1149"/>
    <w:bookmarkEnd w:id="1150"/>
    <w:bookmarkEnd w:id="1151"/>
    <w:r>
      <w:rPr>
        <w:shd w:fill="auto" w:val="clear"/>
        <w:lang w:val="de-DE"/>
      </w:rPr>
      <w:t>Struk</w:t>
    </w:r>
    <w:r>
      <w:rPr>
        <w:lang w:val="de-DE"/>
      </w:rPr>
      <w:t>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39"/>
    <w:lvlOverride w:ilvl="0">
      <w:startOverride w:val="1"/>
    </w:lvlOverride>
  </w:num>
  <w:num w:numId="253">
    <w:abstractNumId w:val="39"/>
  </w:num>
  <w:num w:numId="254">
    <w:abstractNumId w:val="39"/>
  </w:num>
  <w:num w:numId="255">
    <w:abstractNumId w:val="39"/>
    <w:lvlOverride w:ilvl="0">
      <w:startOverride w:val="1"/>
    </w:lvlOverride>
  </w:num>
  <w:num w:numId="256">
    <w:abstractNumId w:val="39"/>
  </w:num>
  <w:num w:numId="257">
    <w:abstractNumId w:val="39"/>
  </w:num>
  <w:num w:numId="258">
    <w:abstractNumId w:val="39"/>
  </w:num>
  <w:num w:numId="259">
    <w:abstractNumId w:val="39"/>
  </w:num>
  <w:num w:numId="260">
    <w:abstractNumId w:val="39"/>
  </w:num>
  <w:num w:numId="261">
    <w:abstractNumId w:val="39"/>
  </w:num>
  <w:num w:numId="262">
    <w:abstractNumId w:val="39"/>
  </w:num>
  <w:num w:numId="263">
    <w:abstractNumId w:val="39"/>
  </w:num>
  <w:num w:numId="264">
    <w:abstractNumId w:val="39"/>
  </w:num>
  <w:num w:numId="265">
    <w:abstractNumId w:val="39"/>
  </w:num>
  <w:num w:numId="266">
    <w:abstractNumId w:val="39"/>
  </w:num>
  <w:num w:numId="267">
    <w:abstractNumId w:val="39"/>
    <w:lvlOverride w:ilvl="0">
      <w:startOverride w:val="1"/>
    </w:lvlOverride>
  </w:num>
  <w:num w:numId="268">
    <w:abstractNumId w:val="39"/>
  </w:num>
  <w:num w:numId="269">
    <w:abstractNumId w:val="39"/>
  </w:num>
  <w:num w:numId="270">
    <w:abstractNumId w:val="39"/>
    <w:lvlOverride w:ilvl="0">
      <w:startOverride w:val="1"/>
    </w:lvlOverride>
  </w:num>
  <w:num w:numId="271">
    <w:abstractNumId w:val="39"/>
  </w:num>
  <w:num w:numId="272">
    <w:abstractNumId w:val="39"/>
  </w:num>
  <w:num w:numId="273">
    <w:abstractNumId w:val="39"/>
  </w:num>
  <w:num w:numId="274">
    <w:abstractNumId w:val="61"/>
    <w:lvlOverride w:ilvl="0">
      <w:startOverride w:val="1"/>
    </w:lvlOverride>
  </w:num>
  <w:num w:numId="275">
    <w:abstractNumId w:val="61"/>
  </w:num>
  <w:num w:numId="276">
    <w:abstractNumId w:val="61"/>
  </w:num>
  <w:num w:numId="277">
    <w:abstractNumId w:val="61"/>
  </w:num>
  <w:num w:numId="278">
    <w:abstractNumId w:val="61"/>
  </w:num>
  <w:num w:numId="279">
    <w:abstractNumId w:val="61"/>
    <w:lvlOverride w:ilvl="0">
      <w:startOverride w:val="1"/>
    </w:lvlOverride>
  </w:num>
  <w:num w:numId="280">
    <w:abstractNumId w:val="61"/>
  </w:num>
  <w:num w:numId="281">
    <w:abstractNumId w:val="61"/>
  </w:num>
  <w:num w:numId="282">
    <w:abstractNumId w:val="61"/>
    <w:lvlOverride w:ilvl="0">
      <w:startOverride w:val="1"/>
    </w:lvlOverride>
  </w:num>
  <w:num w:numId="283">
    <w:abstractNumId w:val="61"/>
  </w:num>
  <w:num w:numId="284">
    <w:abstractNumId w:val="61"/>
    <w:lvlOverride w:ilvl="0">
      <w:startOverride w:val="1"/>
    </w:lvlOverride>
  </w:num>
  <w:num w:numId="285">
    <w:abstractNumId w:val="61"/>
  </w:num>
  <w:num w:numId="286">
    <w:abstractNumId w:val="61"/>
    <w:lvlOverride w:ilvl="0">
      <w:startOverride w:val="1"/>
    </w:lvlOverride>
  </w:num>
  <w:num w:numId="287">
    <w:abstractNumId w:val="61"/>
  </w:num>
  <w:num w:numId="288">
    <w:abstractNumId w:val="61"/>
    <w:lvlOverride w:ilvl="0">
      <w:startOverride w:val="1"/>
    </w:lvlOverride>
  </w:num>
  <w:num w:numId="289">
    <w:abstractNumId w:val="61"/>
  </w:num>
  <w:num w:numId="290">
    <w:abstractNumId w:val="61"/>
  </w:num>
  <w:num w:numId="291">
    <w:abstractNumId w:val="61"/>
  </w:num>
  <w:num w:numId="292">
    <w:abstractNumId w:val="39"/>
    <w:lvlOverride w:ilvl="0">
      <w:startOverride w:val="1"/>
    </w:lvlOverride>
  </w:num>
  <w:num w:numId="293">
    <w:abstractNumId w:val="26"/>
  </w:num>
  <w:num w:numId="294">
    <w:abstractNumId w:val="26"/>
    <w:lvlOverride w:ilvl="0">
      <w:startOverride w:val="1"/>
    </w:lvlOverride>
    <w:lvlOverride w:ilvl="1">
      <w:startOverride w:val="1"/>
    </w:lvlOverride>
  </w:num>
  <w:num w:numId="295">
    <w:abstractNumId w:val="26"/>
  </w:num>
  <w:num w:numId="296">
    <w:abstractNumId w:val="26"/>
  </w:num>
  <w:num w:numId="297">
    <w:abstractNumId w:val="26"/>
    <w:lvlOverride w:ilvl="0">
      <w:startOverride w:val="1"/>
    </w:lvlOverride>
    <w:lvlOverride w:ilvl="1">
      <w:startOverride w:val="1"/>
    </w:lvlOverride>
  </w:num>
  <w:num w:numId="298">
    <w:abstractNumId w:val="39"/>
    <w:lvlOverride w:ilvl="0">
      <w:startOverride w:val="1"/>
    </w:lvlOverride>
  </w:num>
  <w:num w:numId="299">
    <w:abstractNumId w:val="39"/>
  </w:num>
  <w:num w:numId="300">
    <w:abstractNumId w:val="39"/>
  </w:num>
  <w:num w:numId="301">
    <w:abstractNumId w:val="39"/>
  </w:num>
  <w:num w:numId="302">
    <w:abstractNumId w:val="39"/>
  </w:num>
  <w:num w:numId="303">
    <w:abstractNumId w:val="39"/>
  </w:num>
  <w:num w:numId="304">
    <w:abstractNumId w:val="91"/>
    <w:lvlOverride w:ilvl="0">
      <w:startOverride w:val="1"/>
    </w:lvlOverride>
  </w:num>
  <w:num w:numId="305">
    <w:abstractNumId w:val="91"/>
  </w:num>
  <w:num w:numId="306">
    <w:abstractNumId w:val="91"/>
  </w:num>
  <w:num w:numId="307">
    <w:abstractNumId w:val="91"/>
  </w:num>
  <w:num w:numId="308">
    <w:abstractNumId w:val="91"/>
    <w:lvlOverride w:ilvl="0">
      <w:startOverride w:val="1"/>
    </w:lvlOverride>
  </w:num>
  <w:num w:numId="309">
    <w:abstractNumId w:val="91"/>
  </w:num>
  <w:num w:numId="310">
    <w:abstractNumId w:val="91"/>
  </w:num>
  <w:num w:numId="311">
    <w:abstractNumId w:val="91"/>
    <w:lvlOverride w:ilvl="0">
      <w:startOverride w:val="1"/>
    </w:lvlOverride>
  </w:num>
  <w:num w:numId="312">
    <w:abstractNumId w:val="91"/>
  </w:num>
  <w:num w:numId="313">
    <w:abstractNumId w:val="91"/>
  </w:num>
  <w:num w:numId="314">
    <w:abstractNumId w:val="91"/>
  </w:num>
  <w:num w:numId="315">
    <w:abstractNumId w:val="91"/>
  </w:num>
  <w:num w:numId="316">
    <w:abstractNumId w:val="91"/>
  </w:num>
  <w:num w:numId="317">
    <w:abstractNumId w:val="91"/>
    <w:lvlOverride w:ilvl="0">
      <w:startOverride w:val="1"/>
    </w:lvlOverride>
  </w:num>
  <w:num w:numId="318">
    <w:abstractNumId w:val="91"/>
  </w:num>
  <w:num w:numId="319">
    <w:abstractNumId w:val="91"/>
  </w:num>
  <w:num w:numId="320">
    <w:abstractNumId w:val="91"/>
  </w:num>
  <w:num w:numId="321">
    <w:abstractNumId w:val="91"/>
  </w:num>
  <w:num w:numId="322">
    <w:abstractNumId w:val="91"/>
  </w:num>
  <w:num w:numId="323">
    <w:abstractNumId w:val="91"/>
  </w:num>
  <w:num w:numId="324">
    <w:abstractNumId w:val="91"/>
    <w:lvlOverride w:ilvl="0">
      <w:startOverride w:val="1"/>
    </w:lvlOverride>
  </w:num>
  <w:num w:numId="325">
    <w:abstractNumId w:val="91"/>
  </w:num>
  <w:num w:numId="326">
    <w:abstractNumId w:val="91"/>
  </w:num>
  <w:num w:numId="327">
    <w:abstractNumId w:val="91"/>
  </w:num>
  <w:num w:numId="328">
    <w:abstractNumId w:val="39"/>
    <w:lvlOverride w:ilvl="0">
      <w:startOverride w:val="1"/>
    </w:lvlOverride>
  </w:num>
  <w:num w:numId="329">
    <w:abstractNumId w:val="39"/>
  </w:num>
  <w:num w:numId="330">
    <w:abstractNumId w:val="39"/>
  </w:num>
  <w:num w:numId="331">
    <w:abstractNumId w:val="39"/>
    <w:lvlOverride w:ilvl="0">
      <w:startOverride w:val="1"/>
    </w:lvlOverride>
  </w:num>
  <w:num w:numId="332">
    <w:abstractNumId w:val="39"/>
  </w:num>
  <w:num w:numId="333">
    <w:abstractNumId w:val="39"/>
  </w:num>
  <w:num w:numId="334">
    <w:abstractNumId w:val="39"/>
  </w:num>
  <w:num w:numId="335">
    <w:abstractNumId w:val="39"/>
    <w:lvlOverride w:ilvl="0">
      <w:startOverride w:val="1"/>
    </w:lvlOverride>
  </w:num>
  <w:num w:numId="336">
    <w:abstractNumId w:val="39"/>
  </w:num>
  <w:num w:numId="337">
    <w:abstractNumId w:val="39"/>
    <w:lvlOverride w:ilvl="0">
      <w:startOverride w:val="1"/>
    </w:lvlOverride>
  </w:num>
  <w:num w:numId="338">
    <w:abstractNumId w:val="39"/>
  </w:num>
  <w:num w:numId="339">
    <w:abstractNumId w:val="39"/>
  </w:num>
  <w:num w:numId="340">
    <w:abstractNumId w:val="39"/>
    <w:lvlOverride w:ilvl="0">
      <w:startOverride w:val="1"/>
    </w:lvlOverride>
  </w:num>
  <w:num w:numId="341">
    <w:abstractNumId w:val="39"/>
  </w:num>
  <w:num w:numId="342">
    <w:abstractNumId w:val="39"/>
  </w:num>
  <w:num w:numId="343">
    <w:abstractNumId w:val="39"/>
  </w:num>
  <w:num w:numId="344">
    <w:abstractNumId w:val="39"/>
    <w:lvlOverride w:ilvl="0">
      <w:startOverride w:val="1"/>
    </w:lvlOverride>
  </w:num>
  <w:num w:numId="345">
    <w:abstractNumId w:val="39"/>
  </w:num>
  <w:num w:numId="346">
    <w:abstractNumId w:val="39"/>
  </w:num>
  <w:num w:numId="347">
    <w:abstractNumId w:val="39"/>
  </w:num>
  <w:num w:numId="348">
    <w:abstractNumId w:val="135"/>
    <w:lvlOverride w:ilvl="0">
      <w:startOverride w:val="1"/>
    </w:lvlOverride>
  </w:num>
  <w:num w:numId="349">
    <w:abstractNumId w:val="135"/>
  </w:num>
  <w:num w:numId="350">
    <w:abstractNumId w:val="135"/>
  </w:num>
  <w:num w:numId="351">
    <w:abstractNumId w:val="135"/>
  </w:num>
  <w:num w:numId="352">
    <w:abstractNumId w:val="135"/>
    <w:lvlOverride w:ilvl="0">
      <w:startOverride w:val="1"/>
    </w:lvlOverride>
  </w:num>
  <w:num w:numId="353">
    <w:abstractNumId w:val="135"/>
  </w:num>
  <w:num w:numId="354">
    <w:abstractNumId w:val="135"/>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55">
    <w:abstractNumId w:val="135"/>
  </w:num>
  <w:num w:numId="356">
    <w:abstractNumId w:val="135"/>
  </w:num>
  <w:num w:numId="357">
    <w:abstractNumId w:val="135"/>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58">
    <w:abstractNumId w:val="39"/>
  </w:num>
  <w:num w:numId="359">
    <w:abstractNumId w:val="135"/>
  </w:num>
  <w:num w:numId="360">
    <w:abstractNumId w:val="135"/>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61">
    <w:abstractNumId w:val="135"/>
  </w:num>
  <w:num w:numId="362">
    <w:abstractNumId w:val="135"/>
  </w:num>
  <w:num w:numId="363">
    <w:abstractNumId w:val="135"/>
    <w:lvlOverride w:ilvl="0">
      <w:startOverride w:val="1"/>
    </w:lvlOverride>
  </w:num>
  <w:num w:numId="364">
    <w:abstractNumId w:val="135"/>
  </w:num>
  <w:num w:numId="365">
    <w:abstractNumId w:val="135"/>
  </w:num>
  <w:num w:numId="366">
    <w:abstractNumId w:val="135"/>
  </w:num>
  <w:num w:numId="367">
    <w:abstractNumId w:val="135"/>
  </w:num>
  <w:num w:numId="368">
    <w:abstractNumId w:val="135"/>
  </w:num>
  <w:num w:numId="369">
    <w:abstractNumId w:val="135"/>
  </w:num>
  <w:num w:numId="370">
    <w:abstractNumId w:val="39"/>
    <w:lvlOverride w:ilvl="0">
      <w:startOverride w:val="1"/>
    </w:lvlOverride>
  </w:num>
  <w:num w:numId="371">
    <w:abstractNumId w:val="39"/>
  </w:num>
  <w:num w:numId="372">
    <w:abstractNumId w:val="39"/>
  </w:num>
  <w:num w:numId="373">
    <w:abstractNumId w:val="39"/>
  </w:num>
  <w:num w:numId="374">
    <w:abstractNumId w:val="39"/>
  </w:num>
  <w:num w:numId="375">
    <w:abstractNumId w:val="39"/>
  </w:num>
  <w:num w:numId="376">
    <w:abstractNumId w:val="39"/>
  </w:num>
  <w:num w:numId="377">
    <w:abstractNumId w:val="39"/>
    <w:lvlOverride w:ilvl="0">
      <w:startOverride w:val="1"/>
    </w:lvlOverride>
  </w:num>
  <w:num w:numId="378">
    <w:abstractNumId w:val="39"/>
  </w:num>
  <w:num w:numId="379">
    <w:abstractNumId w:val="39"/>
    <w:lvlOverride w:ilvl="0">
      <w:startOverride w:val="1"/>
    </w:lvlOverride>
  </w:num>
  <w:num w:numId="380">
    <w:abstractNumId w:val="39"/>
  </w:num>
  <w:num w:numId="381">
    <w:abstractNumId w:val="39"/>
  </w:num>
  <w:num w:numId="382">
    <w:abstractNumId w:val="39"/>
  </w:num>
  <w:num w:numId="383">
    <w:abstractNumId w:val="39"/>
  </w:num>
  <w:num w:numId="384">
    <w:abstractNumId w:val="39"/>
    <w:lvlOverride w:ilvl="0">
      <w:startOverride w:val="1"/>
    </w:lvlOverride>
  </w:num>
  <w:num w:numId="385">
    <w:abstractNumId w:val="26"/>
    <w:lvlOverride w:ilvl="0">
      <w:startOverride w:val="1"/>
    </w:lvlOverride>
    <w:lvlOverride w:ilvl="1">
      <w:startOverride w:val="1"/>
    </w:lvlOverride>
  </w:num>
  <w:num w:numId="386">
    <w:abstractNumId w:val="26"/>
  </w:num>
  <w:num w:numId="387">
    <w:abstractNumId w:val="26"/>
    <w:lvlOverride w:ilvl="0">
      <w:startOverride w:val="1"/>
    </w:lvlOverride>
    <w:lvlOverride w:ilvl="1">
      <w:startOverride w:val="1"/>
    </w:lvlOverride>
  </w:num>
  <w:num w:numId="388">
    <w:abstractNumId w:val="39"/>
    <w:lvlOverride w:ilvl="0">
      <w:startOverride w:val="1"/>
    </w:lvlOverride>
  </w:num>
  <w:num w:numId="389">
    <w:abstractNumId w:val="39"/>
  </w:num>
  <w:num w:numId="390">
    <w:abstractNumId w:val="39"/>
  </w:num>
  <w:num w:numId="391">
    <w:abstractNumId w:val="39"/>
    <w:lvlOverride w:ilvl="0">
      <w:startOverride w:val="1"/>
    </w:lvlOverride>
  </w:num>
  <w:num w:numId="392">
    <w:abstractNumId w:val="39"/>
    <w:lvlOverride w:ilvl="0">
      <w:startOverride w:val="1"/>
    </w:lvlOverride>
    <w:lvlOverride w:ilvl="1">
      <w:startOverride w:val="1"/>
    </w:lvlOverride>
  </w:num>
  <w:num w:numId="393">
    <w:abstractNumId w:val="39"/>
  </w:num>
  <w:num w:numId="394">
    <w:abstractNumId w:val="39"/>
  </w:num>
  <w:num w:numId="395">
    <w:abstractNumId w:val="39"/>
  </w:num>
  <w:num w:numId="396">
    <w:abstractNumId w:val="39"/>
  </w:num>
  <w:num w:numId="397">
    <w:abstractNumId w:val="39"/>
    <w:lvlOverride w:ilvl="0">
      <w:startOverride w:val="1"/>
    </w:lvlOverride>
  </w:num>
  <w:num w:numId="398">
    <w:abstractNumId w:val="39"/>
  </w:num>
  <w:num w:numId="399">
    <w:abstractNumId w:val="39"/>
  </w:num>
  <w:num w:numId="400">
    <w:abstractNumId w:val="187"/>
    <w:lvlOverride w:ilvl="0">
      <w:startOverride w:val="1"/>
    </w:lvlOverride>
  </w:num>
  <w:num w:numId="401">
    <w:abstractNumId w:val="187"/>
  </w:num>
  <w:num w:numId="402">
    <w:abstractNumId w:val="187"/>
  </w:num>
  <w:num w:numId="403">
    <w:abstractNumId w:val="188"/>
    <w:lvlOverride w:ilvl="0">
      <w:startOverride w:val="1"/>
    </w:lvlOverride>
  </w:num>
  <w:num w:numId="404">
    <w:abstractNumId w:val="188"/>
  </w:num>
  <w:num w:numId="405">
    <w:abstractNumId w:val="188"/>
  </w:num>
  <w:num w:numId="406">
    <w:abstractNumId w:val="188"/>
  </w:num>
  <w:num w:numId="407">
    <w:abstractNumId w:val="39"/>
    <w:lvlOverride w:ilvl="0">
      <w:startOverride w:val="1"/>
    </w:lvlOverride>
  </w:num>
  <w:num w:numId="408">
    <w:abstractNumId w:val="39"/>
  </w:num>
  <w:num w:numId="409">
    <w:abstractNumId w:val="39"/>
  </w:num>
  <w:num w:numId="410">
    <w:abstractNumId w:val="39"/>
  </w:num>
  <w:num w:numId="411">
    <w:abstractNumId w:val="39"/>
  </w:num>
  <w:num w:numId="412">
    <w:abstractNumId w:val="39"/>
  </w:num>
  <w:num w:numId="413">
    <w:abstractNumId w:val="39"/>
  </w:num>
  <w:num w:numId="414">
    <w:abstractNumId w:val="39"/>
    <w:lvlOverride w:ilvl="0">
      <w:startOverride w:val="1"/>
    </w:lvlOverride>
  </w:num>
  <w:num w:numId="415">
    <w:abstractNumId w:val="39"/>
  </w:num>
  <w:num w:numId="416">
    <w:abstractNumId w:val="39"/>
  </w:num>
  <w:num w:numId="417">
    <w:abstractNumId w:val="39"/>
    <w:lvlOverride w:ilvl="0">
      <w:startOverride w:val="1"/>
    </w:lvlOverride>
  </w:num>
  <w:num w:numId="418">
    <w:abstractNumId w:val="39"/>
  </w:num>
  <w:num w:numId="419">
    <w:abstractNumId w:val="187"/>
    <w:lvlOverride w:ilvl="0">
      <w:startOverride w:val="1"/>
    </w:lvlOverride>
  </w:num>
  <w:num w:numId="420">
    <w:abstractNumId w:val="187"/>
  </w:num>
  <w:num w:numId="421">
    <w:abstractNumId w:val="39"/>
    <w:lvlOverride w:ilvl="0">
      <w:startOverride w:val="1"/>
    </w:lvlOverride>
  </w:num>
  <w:num w:numId="422">
    <w:abstractNumId w:val="26"/>
    <w:lvlOverride w:ilvl="0">
      <w:startOverride w:val="1"/>
    </w:lvlOverride>
    <w:lvlOverride w:ilvl="1">
      <w:startOverride w:val="1"/>
    </w:lvlOverride>
  </w:num>
  <w:num w:numId="423">
    <w:abstractNumId w:val="39"/>
  </w:num>
  <w:num w:numId="424">
    <w:abstractNumId w:val="26"/>
    <w:lvlOverride w:ilvl="0">
      <w:startOverride w:val="1"/>
    </w:lvlOverride>
    <w:lvlOverride w:ilvl="1">
      <w:startOverride w:val="1"/>
    </w:lvlOverride>
  </w:num>
  <w:num w:numId="425">
    <w:abstractNumId w:val="26"/>
    <w:lvlOverride w:ilvl="0">
      <w:startOverride w:val="1"/>
    </w:lvlOverride>
    <w:lvlOverride w:ilvl="1">
      <w:startOverride w:val="1"/>
    </w:lvlOverride>
  </w:num>
  <w:num w:numId="426">
    <w:abstractNumId w:val="26"/>
  </w:num>
  <w:num w:numId="427">
    <w:abstractNumId w:val="187"/>
    <w:lvlOverride w:ilvl="0">
      <w:startOverride w:val="1"/>
    </w:lvlOverride>
  </w:num>
  <w:num w:numId="428">
    <w:abstractNumId w:val="187"/>
  </w:num>
  <w:num w:numId="429">
    <w:abstractNumId w:val="187"/>
  </w:num>
  <w:num w:numId="430">
    <w:abstractNumId w:val="187"/>
  </w:num>
  <w:num w:numId="431">
    <w:abstractNumId w:val="187"/>
  </w:num>
  <w:num w:numId="432">
    <w:abstractNumId w:val="187"/>
  </w:num>
  <w:num w:numId="433">
    <w:abstractNumId w:val="39"/>
    <w:lvlOverride w:ilvl="0">
      <w:startOverride w:val="1"/>
    </w:lvlOverride>
  </w:num>
  <w:num w:numId="434">
    <w:abstractNumId w:val="39"/>
  </w:num>
  <w:num w:numId="435">
    <w:abstractNumId w:val="39"/>
  </w:num>
  <w:num w:numId="436">
    <w:abstractNumId w:val="39"/>
    <w:lvlOverride w:ilvl="0">
      <w:startOverride w:val="1"/>
    </w:lvlOverride>
  </w:num>
  <w:num w:numId="437">
    <w:abstractNumId w:val="39"/>
  </w:num>
  <w:num w:numId="438">
    <w:abstractNumId w:val="39"/>
  </w:num>
  <w:num w:numId="439">
    <w:abstractNumId w:val="39"/>
  </w:num>
  <w:num w:numId="440">
    <w:abstractNumId w:val="39"/>
  </w:num>
  <w:num w:numId="441">
    <w:abstractNumId w:val="39"/>
  </w:num>
  <w:num w:numId="442">
    <w:abstractNumId w:val="39"/>
    <w:lvlOverride w:ilvl="0">
      <w:startOverride w:val="1"/>
    </w:lvlOverride>
  </w:num>
  <w:num w:numId="443">
    <w:abstractNumId w:val="39"/>
  </w:num>
  <w:num w:numId="444">
    <w:abstractNumId w:val="39"/>
  </w:num>
  <w:num w:numId="445">
    <w:abstractNumId w:val="39"/>
  </w:num>
  <w:num w:numId="446">
    <w:abstractNumId w:val="39"/>
  </w:num>
  <w:num w:numId="447">
    <w:abstractNumId w:val="39"/>
  </w:num>
  <w:num w:numId="448">
    <w:abstractNumId w:val="39"/>
  </w:num>
  <w:num w:numId="449">
    <w:abstractNumId w:val="39"/>
  </w:num>
  <w:num w:numId="450">
    <w:abstractNumId w:val="39"/>
    <w:lvlOverride w:ilvl="0">
      <w:startOverride w:val="1"/>
    </w:lvlOverride>
  </w:num>
  <w:num w:numId="451">
    <w:abstractNumId w:val="39"/>
  </w:num>
  <w:num w:numId="452">
    <w:abstractNumId w:val="39"/>
  </w:num>
  <w:num w:numId="453">
    <w:abstractNumId w:val="39"/>
  </w:num>
  <w:num w:numId="454">
    <w:abstractNumId w:val="39"/>
  </w:num>
  <w:num w:numId="455">
    <w:abstractNumId w:val="39"/>
  </w:num>
  <w:num w:numId="456">
    <w:abstractNumId w:val="39"/>
  </w:num>
  <w:num w:numId="457">
    <w:abstractNumId w:val="39"/>
    <w:lvlOverride w:ilvl="0">
      <w:startOverride w:val="1"/>
    </w:lvlOverride>
  </w:num>
  <w:num w:numId="458">
    <w:abstractNumId w:val="39"/>
  </w:num>
  <w:num w:numId="459">
    <w:abstractNumId w:val="39"/>
  </w:num>
  <w:num w:numId="460">
    <w:abstractNumId w:val="39"/>
  </w:num>
  <w:num w:numId="461">
    <w:abstractNumId w:val="39"/>
  </w:num>
  <w:num w:numId="462">
    <w:abstractNumId w:val="39"/>
  </w:num>
  <w:num w:numId="463">
    <w:abstractNumId w:val="187"/>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464">
    <w:abstractNumId w:val="187"/>
  </w:num>
  <w:num w:numId="465">
    <w:abstractNumId w:val="187"/>
  </w:num>
  <w:num w:numId="466">
    <w:abstractNumId w:val="187"/>
  </w:num>
  <w:num w:numId="467">
    <w:abstractNumId w:val="39"/>
    <w:lvlOverride w:ilvl="0">
      <w:startOverride w:val="1"/>
    </w:lvlOverride>
  </w:num>
  <w:num w:numId="468">
    <w:abstractNumId w:val="39"/>
  </w:num>
  <w:num w:numId="469">
    <w:abstractNumId w:val="91"/>
    <w:lvlOverride w:ilvl="0">
      <w:startOverride w:val="1"/>
    </w:lvlOverride>
  </w:num>
  <w:num w:numId="470">
    <w:abstractNumId w:val="91"/>
  </w:num>
  <w:num w:numId="471">
    <w:abstractNumId w:val="91"/>
  </w:num>
  <w:num w:numId="472">
    <w:abstractNumId w:val="91"/>
  </w:num>
  <w:num w:numId="473">
    <w:abstractNumId w:val="39"/>
    <w:lvlOverride w:ilvl="0">
      <w:startOverride w:val="1"/>
    </w:lvlOverride>
  </w:num>
  <w:num w:numId="474">
    <w:abstractNumId w:val="39"/>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character" w:styleId="Bulletsuser">
    <w:name w:val="Bullets (user)"/>
    <w:qFormat/>
    <w:rPr>
      <w:rFonts w:ascii="OpenSymbol" w:hAnsi="OpenSymbol" w:eastAsia="OpenSymbol" w:cs="OpenSymbol"/>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spacing w:lineRule="auto" w:line="240" w:before="0" w:after="0"/>
      <w:jc w:val="lef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user">
    <w:name w:val="Frame Contents (user)"/>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tru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18689</TotalTime>
  <Application>LibreOffice/25.2.4.3$Linux_X86_64 LibreOffice_project/33e196637044ead23f5c3226cde09b47731f7e27</Application>
  <AppVersion>15.0000</AppVersion>
  <Pages>49</Pages>
  <Words>14987</Words>
  <Characters>108595</Characters>
  <CharactersWithSpaces>121912</CharactersWithSpaces>
  <Paragraphs>1229</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2025-09-01T11:35:35Z</cp:lastPrinted>
  <dcterms:modified xsi:type="dcterms:W3CDTF">2025-09-01T19:09:28Z</dcterms:modified>
  <cp:revision>551</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